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2" w:before="0" w:after="34"/>
        <w:ind w:left="0" w:right="1015" w:hanging="0"/>
        <w:rPr>
          <w:rFonts w:ascii="Calibri Light" w:hAnsi="Calibri Light" w:cs="Calibri Light"/>
          <w:color w:val="auto"/>
          <w:sz w:val="32"/>
          <w:szCs w:val="32"/>
        </w:rPr>
      </w:pPr>
      <w:r>
        <w:rPr/>
        <w:drawing>
          <wp:inline distT="0" distB="0" distL="0" distR="0">
            <wp:extent cx="1011555" cy="1011555"/>
            <wp:effectExtent l="0" t="0" r="0" b="0"/>
            <wp:docPr id="3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45720" distB="45720" distL="114300" distR="114300" simplePos="0" locked="0" layoutInCell="1" allowOverlap="1" relativeHeight="10" wp14:anchorId="2DC555B0">
                <wp:simplePos x="0" y="0"/>
                <wp:positionH relativeFrom="column">
                  <wp:posOffset>1818005</wp:posOffset>
                </wp:positionH>
                <wp:positionV relativeFrom="paragraph">
                  <wp:posOffset>2540</wp:posOffset>
                </wp:positionV>
                <wp:extent cx="4586605" cy="887095"/>
                <wp:effectExtent l="0" t="0" r="13335" b="17145"/>
                <wp:wrapSquare wrapText="bothSides"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6040" cy="88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ind w:left="0" w:hanging="10"/>
                              <w:jc w:val="both"/>
                              <w:rPr/>
                            </w:pPr>
                            <w:r>
                              <w:rPr>
                                <w:rFonts w:cs="Calibri Light" w:ascii="Calibri Light" w:hAnsi="Calibri Light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="Calibri Light" w:ascii="Calibri Light" w:hAnsi="Calibri Light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1. KLINICZNE PODSTAWY FIZJOTERAPII W CHIRURGII</w:t>
                            </w:r>
                          </w:p>
                          <w:p>
                            <w:pPr>
                              <w:pStyle w:val="Zawartoramki"/>
                              <w:spacing w:before="0" w:after="3"/>
                              <w:ind w:left="0" w:hanging="10"/>
                              <w:jc w:val="both"/>
                              <w:rPr/>
                            </w:pPr>
                            <w:r>
                              <w:rPr>
                                <w:rFonts w:cs="Calibri Light" w:ascii="Calibri Light" w:hAnsi="Calibri Light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  <w:t>2. Fizjoterapia kliniczna w chirurgii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fillcolor="white" stroked="t" style="position:absolute;margin-left:143.15pt;margin-top:0.2pt;width:361.05pt;height:69.75pt" wp14:anchorId="2DC555B0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Zawartoramki"/>
                        <w:ind w:left="0" w:hanging="10"/>
                        <w:jc w:val="both"/>
                        <w:rPr/>
                      </w:pPr>
                      <w:r>
                        <w:rPr>
                          <w:rFonts w:cs="Calibri Light" w:ascii="Calibri Light" w:hAnsi="Calibri Light"/>
                          <w:b/>
                          <w:bCs/>
                          <w:color w:val="auto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="Calibri Light" w:ascii="Calibri Light" w:hAnsi="Calibri Light"/>
                          <w:b/>
                          <w:bCs/>
                          <w:color w:val="auto"/>
                          <w:sz w:val="32"/>
                          <w:szCs w:val="32"/>
                        </w:rPr>
                        <w:t>1. KLINICZNE PODSTAWY FIZJOTERAPII W CHIRURGII</w:t>
                      </w:r>
                    </w:p>
                    <w:p>
                      <w:pPr>
                        <w:pStyle w:val="Zawartoramki"/>
                        <w:spacing w:before="0" w:after="3"/>
                        <w:ind w:left="0" w:hanging="10"/>
                        <w:jc w:val="both"/>
                        <w:rPr/>
                      </w:pPr>
                      <w:r>
                        <w:rPr>
                          <w:rFonts w:cs="Calibri Light" w:ascii="Calibri Light" w:hAnsi="Calibri Light"/>
                          <w:b/>
                          <w:bCs/>
                          <w:color w:val="auto"/>
                          <w:sz w:val="32"/>
                          <w:szCs w:val="32"/>
                        </w:rPr>
                        <w:t>2. Fizjoterapia kliniczna w chirurgii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59" w:before="0" w:after="103"/>
        <w:ind w:left="75" w:right="1416" w:hanging="0"/>
        <w:jc w:val="right"/>
        <w:rPr>
          <w:color w:val="auto"/>
        </w:rPr>
      </w:pPr>
      <w:r>
        <w:rPr>
          <w:color w:val="auto"/>
        </w:rPr>
      </w:r>
    </w:p>
    <w:tbl>
      <w:tblPr>
        <w:tblStyle w:val="TableGrid"/>
        <w:tblW w:w="10190" w:type="dxa"/>
        <w:jc w:val="left"/>
        <w:tblInd w:w="8" w:type="dxa"/>
        <w:tblCellMar>
          <w:top w:w="116" w:type="dxa"/>
          <w:left w:w="83" w:type="dxa"/>
          <w:bottom w:w="0" w:type="dxa"/>
          <w:right w:w="205" w:type="dxa"/>
        </w:tblCellMar>
        <w:tblLook w:firstRow="1" w:noVBand="1" w:lastRow="0" w:firstColumn="1" w:lastColumn="0" w:noHBand="0" w:val="04a0"/>
      </w:tblPr>
      <w:tblGrid>
        <w:gridCol w:w="2960"/>
        <w:gridCol w:w="7229"/>
      </w:tblGrid>
      <w:tr>
        <w:trPr>
          <w:trHeight w:val="510" w:hRule="atLeast"/>
        </w:trPr>
        <w:tc>
          <w:tcPr>
            <w:tcW w:w="1018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0"/>
              <w:contextualSpacing/>
              <w:rPr>
                <w:b/>
                <w:b/>
                <w:smallCaps/>
                <w:color w:val="auto"/>
                <w:sz w:val="24"/>
                <w:szCs w:val="24"/>
              </w:rPr>
            </w:pPr>
            <w:r>
              <w:rPr>
                <w:b/>
                <w:smallCaps/>
                <w:color w:val="auto"/>
                <w:sz w:val="24"/>
                <w:szCs w:val="24"/>
              </w:rPr>
              <w:t>Metryczka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Rok akademicki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rPr/>
            </w:pPr>
            <w:r>
              <w:rPr>
                <w:color w:val="auto"/>
              </w:rPr>
              <w:t>2027/2028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Wydział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color w:val="auto"/>
              </w:rPr>
              <w:t>Wydział Lekarsko- Stomatologiczny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>Kierunek studiów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color w:val="auto"/>
              </w:rPr>
              <w:t>Fizjoterapia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right="-351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Dyscyplina wiodąca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right="-351" w:hanging="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auto"/>
                <w:sz w:val="20"/>
                <w:szCs w:val="20"/>
              </w:rPr>
              <w:t>Nauki o zdrowiu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 xml:space="preserve">Profil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sz w:val="20"/>
                <w:szCs w:val="20"/>
              </w:rPr>
            </w:pPr>
            <w:r>
              <w:rPr>
                <w:i/>
                <w:iCs/>
                <w:color w:val="auto"/>
                <w:sz w:val="20"/>
                <w:szCs w:val="20"/>
              </w:rPr>
              <w:t>praktyczny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 xml:space="preserve">Poziom kształcenia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sz w:val="20"/>
                <w:szCs w:val="20"/>
              </w:rPr>
            </w:pPr>
            <w:r>
              <w:rPr>
                <w:bCs/>
                <w:i/>
                <w:iCs/>
                <w:color w:val="auto"/>
                <w:sz w:val="20"/>
                <w:szCs w:val="20"/>
              </w:rPr>
              <w:t>Jednolite studia magisterskie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 xml:space="preserve">Forma studiów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sz w:val="20"/>
                <w:szCs w:val="20"/>
              </w:rPr>
            </w:pPr>
            <w:r>
              <w:rPr>
                <w:bCs/>
                <w:i/>
                <w:iCs/>
                <w:color w:val="auto"/>
                <w:sz w:val="20"/>
                <w:szCs w:val="20"/>
              </w:rPr>
              <w:t>(stacjonarne)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Typ modułu/przedmiotu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rPr/>
            </w:pPr>
            <w:r>
              <w:rPr>
                <w:b/>
                <w:bCs/>
                <w:i/>
                <w:iCs/>
                <w:color w:val="auto"/>
                <w:sz w:val="16"/>
                <w:szCs w:val="20"/>
              </w:rPr>
              <w:t>Fizjoterapia w chorobach wewnętrznych-</w:t>
            </w:r>
            <w:r>
              <w:rPr>
                <w:i/>
                <w:iCs/>
                <w:color w:val="auto"/>
                <w:sz w:val="16"/>
                <w:szCs w:val="20"/>
              </w:rPr>
              <w:t>obowiązkowy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 xml:space="preserve">Forma weryfikacji efektów uczenia się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sz w:val="20"/>
                <w:szCs w:val="20"/>
              </w:rPr>
            </w:pPr>
            <w:r>
              <w:rPr>
                <w:bCs/>
                <w:i/>
                <w:iCs/>
                <w:color w:val="auto"/>
                <w:sz w:val="20"/>
                <w:szCs w:val="20"/>
              </w:rPr>
              <w:t>(</w:t>
            </w:r>
            <w:r>
              <w:rPr>
                <w:i/>
                <w:iCs/>
                <w:color w:val="auto"/>
                <w:sz w:val="20"/>
                <w:szCs w:val="20"/>
              </w:rPr>
              <w:t>zaliczenie)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Jednostka prowadząca /jednostki prowadzące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auto"/>
                <w:sz w:val="20"/>
                <w:szCs w:val="20"/>
              </w:rPr>
              <w:t>II Katedra i Klinika Chirurgii Ogólnej, Naczyniowej i Onkologicznej II Wydziału Lekarskiego WUM, Szpital Czerniakowski ul.Stępińska 19/2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Kierownik jednostki/kierownicy jednostek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rPr/>
            </w:pPr>
            <w:r>
              <w:rPr>
                <w:b/>
                <w:color w:val="auto"/>
              </w:rPr>
              <w:t>dr hab. n. med. Zoran Stojcev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 xml:space="preserve">Koordynator przedmiotu 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rPr/>
            </w:pPr>
            <w:r>
              <w:rPr>
                <w:b/>
                <w:bCs/>
                <w:i/>
                <w:iCs/>
                <w:color w:val="auto"/>
                <w:sz w:val="20"/>
                <w:szCs w:val="20"/>
              </w:rPr>
              <w:t>dr hab. n. med. Zoran Stojcev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Osoba odpowiedzialna za sylabus</w:t>
            </w:r>
            <w:r>
              <w:rPr>
                <w:bCs/>
                <w:i/>
                <w:iCs/>
                <w:color w:val="auto"/>
                <w:sz w:val="16"/>
                <w:szCs w:val="20"/>
              </w:rPr>
              <w:t>)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rPr/>
            </w:pPr>
            <w:r>
              <w:rPr>
                <w:b/>
                <w:bCs/>
                <w:i/>
                <w:iCs/>
                <w:color w:val="auto"/>
                <w:sz w:val="20"/>
                <w:szCs w:val="20"/>
              </w:rPr>
              <w:t>dr hab. n. med. Zoran Stojcev   zoran.stojcev@wum.edu.pl</w:t>
            </w:r>
          </w:p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color w:val="auto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auto"/>
                <w:sz w:val="20"/>
                <w:szCs w:val="20"/>
              </w:rPr>
              <w:t>mgr Hanna Wiszniewska  hanna.wiszniewska@wum.edu.pl</w:t>
            </w:r>
          </w:p>
        </w:tc>
      </w:tr>
      <w:tr>
        <w:trPr>
          <w:trHeight w:val="510" w:hRule="atLeast"/>
        </w:trPr>
        <w:tc>
          <w:tcPr>
            <w:tcW w:w="29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Prowadzący zajęcia</w:t>
            </w:r>
          </w:p>
        </w:tc>
        <w:tc>
          <w:tcPr>
            <w:tcW w:w="722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/>
            </w:pPr>
            <w:r>
              <w:rPr>
                <w:b/>
                <w:bCs/>
                <w:color w:val="auto"/>
              </w:rPr>
              <w:t>Prof. dr hab. Mariusz Frączek</w:t>
            </w:r>
          </w:p>
          <w:p>
            <w:pPr>
              <w:pStyle w:val="Normal"/>
              <w:spacing w:lineRule="auto" w:line="259" w:before="0" w:after="0"/>
              <w:ind w:left="0" w:hanging="0"/>
              <w:contextualSpacing/>
              <w:rPr/>
            </w:pPr>
            <w:r>
              <w:rPr>
                <w:b/>
                <w:bCs/>
                <w:color w:val="auto"/>
              </w:rPr>
              <w:t>dr n. med. Małgorzata Polańska- Płachta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  <w:color w:val="auto"/>
              </w:rPr>
              <w:t>lek. med. Mateusz Burdzel</w:t>
            </w:r>
          </w:p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b/>
                <w:bCs/>
                <w:color w:val="auto"/>
              </w:rPr>
              <w:t xml:space="preserve">dr Tomasz Rusinowicz </w:t>
            </w:r>
          </w:p>
          <w:p>
            <w:pPr>
              <w:pStyle w:val="Normal"/>
              <w:spacing w:lineRule="auto" w:line="259" w:before="0" w:after="0"/>
              <w:ind w:left="0" w:hanging="0"/>
              <w:contextualSpacing/>
              <w:jc w:val="left"/>
              <w:rPr/>
            </w:pPr>
            <w:r>
              <w:rPr>
                <w:b/>
                <w:bCs/>
                <w:color w:val="auto"/>
              </w:rPr>
              <w:t>lek.med. Inga Kowalczyk</w:t>
            </w:r>
          </w:p>
          <w:p>
            <w:pPr>
              <w:pStyle w:val="Normal"/>
              <w:spacing w:lineRule="auto" w:line="259" w:before="0" w:after="0"/>
              <w:ind w:left="0" w:hanging="0"/>
              <w:contextualSpacing/>
              <w:jc w:val="left"/>
              <w:rPr/>
            </w:pPr>
            <w:r>
              <w:rPr>
                <w:b/>
                <w:bCs/>
                <w:color w:val="auto"/>
              </w:rPr>
              <w:t>lek.med Magdalena Czerwińska</w:t>
            </w:r>
          </w:p>
          <w:p>
            <w:pPr>
              <w:pStyle w:val="Normal"/>
              <w:spacing w:lineRule="auto" w:line="259" w:before="0" w:after="0"/>
              <w:ind w:left="0" w:hanging="0"/>
              <w:contextualSpacing/>
              <w:rPr/>
            </w:pPr>
            <w:r>
              <w:rPr>
                <w:b/>
                <w:bCs/>
                <w:color w:val="auto"/>
              </w:rPr>
              <w:t>mgr Katarzyna Wilczyńska</w:t>
            </w:r>
          </w:p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b/>
                <w:b/>
                <w:color w:val="auto"/>
              </w:rPr>
            </w:pPr>
            <w:r>
              <w:rPr>
                <w:b/>
                <w:bCs/>
                <w:color w:val="auto"/>
              </w:rPr>
              <w:t>mgr Hanna Wiszniewska</w:t>
            </w:r>
          </w:p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</w:tr>
    </w:tbl>
    <w:p>
      <w:pPr>
        <w:pStyle w:val="Normal"/>
        <w:spacing w:lineRule="auto" w:line="259" w:before="0" w:after="11"/>
        <w:ind w:left="0" w:hanging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tbl>
      <w:tblPr>
        <w:tblStyle w:val="TableGrid"/>
        <w:tblW w:w="10190" w:type="dxa"/>
        <w:jc w:val="left"/>
        <w:tblInd w:w="8" w:type="dxa"/>
        <w:tblCellMar>
          <w:top w:w="116" w:type="dxa"/>
          <w:left w:w="83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1827"/>
        <w:gridCol w:w="3776"/>
        <w:gridCol w:w="1325"/>
        <w:gridCol w:w="1626"/>
        <w:gridCol w:w="1635"/>
      </w:tblGrid>
      <w:tr>
        <w:trPr>
          <w:trHeight w:val="510" w:hRule="atLeast"/>
        </w:trPr>
        <w:tc>
          <w:tcPr>
            <w:tcW w:w="10189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35" w:before="0" w:after="0"/>
              <w:contextualSpacing/>
              <w:rPr>
                <w:b/>
                <w:b/>
                <w:smallCaps/>
                <w:color w:val="auto"/>
              </w:rPr>
            </w:pPr>
            <w:r>
              <w:rPr>
                <w:b/>
                <w:smallCaps/>
                <w:color w:val="auto"/>
                <w:sz w:val="24"/>
              </w:rPr>
              <w:t>Informacje podstawowe</w:t>
            </w:r>
          </w:p>
        </w:tc>
      </w:tr>
      <w:tr>
        <w:trPr>
          <w:trHeight w:val="510" w:hRule="atLeast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>Rok i semestr studiów</w:t>
            </w:r>
          </w:p>
        </w:tc>
        <w:tc>
          <w:tcPr>
            <w:tcW w:w="510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color w:val="auto"/>
              </w:rPr>
              <w:t>Rok II , semestr  IV (letni )</w:t>
            </w:r>
          </w:p>
        </w:tc>
        <w:tc>
          <w:tcPr>
            <w:tcW w:w="16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35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>Liczba punktów ECTS</w:t>
            </w:r>
          </w:p>
        </w:tc>
        <w:tc>
          <w:tcPr>
            <w:tcW w:w="16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160"/>
              <w:ind w:left="0" w:hanging="10"/>
              <w:rPr/>
            </w:pPr>
            <w:r>
              <w:rPr>
                <w:color w:val="auto"/>
              </w:rPr>
              <w:t>2.00</w:t>
            </w:r>
          </w:p>
        </w:tc>
      </w:tr>
      <w:tr>
        <w:trPr>
          <w:trHeight w:val="381" w:hRule="atLeast"/>
        </w:trPr>
        <w:tc>
          <w:tcPr>
            <w:tcW w:w="56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smallCaps/>
                <w:color w:val="auto"/>
                <w:sz w:val="22"/>
              </w:rPr>
            </w:pPr>
            <w:r>
              <w:rPr>
                <w:b/>
                <w:smallCaps/>
                <w:color w:val="auto"/>
                <w:sz w:val="22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160"/>
              <w:ind w:left="0" w:hanging="1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Liczba godzin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160"/>
              <w:ind w:left="0" w:hanging="1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Kalkulacja punktów ECTS</w:t>
            </w:r>
          </w:p>
        </w:tc>
      </w:tr>
      <w:tr>
        <w:trPr>
          <w:trHeight w:val="381" w:hRule="atLeast"/>
        </w:trPr>
        <w:tc>
          <w:tcPr>
            <w:tcW w:w="56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6A6A6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>Godziny kontaktowe z nauczycielem akademickim</w:t>
            </w:r>
          </w:p>
        </w:tc>
        <w:tc>
          <w:tcPr>
            <w:tcW w:w="1325" w:type="dxa"/>
            <w:vMerge w:val="continue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fill="auto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3261" w:type="dxa"/>
            <w:gridSpan w:val="2"/>
            <w:vMerge w:val="continue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fill="auto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</w:r>
          </w:p>
        </w:tc>
      </w:tr>
      <w:tr>
        <w:trPr>
          <w:trHeight w:val="381" w:hRule="atLeast"/>
        </w:trPr>
        <w:tc>
          <w:tcPr>
            <w:tcW w:w="56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color w:val="auto"/>
              </w:rPr>
              <w:t>wykład (W)</w:t>
            </w:r>
          </w:p>
        </w:tc>
        <w:tc>
          <w:tcPr>
            <w:tcW w:w="1325" w:type="dxa"/>
            <w:tcBorders>
              <w:top w:val="single" w:sz="6" w:space="0" w:color="A6A6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6" w:space="0" w:color="A6A6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381" w:hRule="atLeast"/>
        </w:trPr>
        <w:tc>
          <w:tcPr>
            <w:tcW w:w="56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color w:val="auto"/>
              </w:rPr>
              <w:t>seminarium (S)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326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381" w:hRule="atLeast"/>
        </w:trPr>
        <w:tc>
          <w:tcPr>
            <w:tcW w:w="56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color w:val="auto"/>
              </w:rPr>
              <w:t>ćwiczenia (C)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326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381" w:hRule="atLeast"/>
        </w:trPr>
        <w:tc>
          <w:tcPr>
            <w:tcW w:w="56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color w:val="auto"/>
              </w:rPr>
              <w:t>e-learning (e-L)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326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381" w:hRule="atLeast"/>
        </w:trPr>
        <w:tc>
          <w:tcPr>
            <w:tcW w:w="56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color w:val="auto"/>
              </w:rPr>
              <w:t>zajęcia praktyczne (ZP)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  <w:t>26</w:t>
            </w:r>
          </w:p>
        </w:tc>
        <w:tc>
          <w:tcPr>
            <w:tcW w:w="326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381" w:hRule="atLeast"/>
        </w:trPr>
        <w:tc>
          <w:tcPr>
            <w:tcW w:w="56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color w:val="auto"/>
              </w:rPr>
              <w:t>praktyka zawodowa (PZ)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326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381" w:hRule="atLeast"/>
        </w:trPr>
        <w:tc>
          <w:tcPr>
            <w:tcW w:w="10189" w:type="dxa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b/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Samodzielna praca studenta</w:t>
            </w:r>
          </w:p>
        </w:tc>
      </w:tr>
      <w:tr>
        <w:trPr>
          <w:trHeight w:val="381" w:hRule="atLeast"/>
        </w:trPr>
        <w:tc>
          <w:tcPr>
            <w:tcW w:w="5603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color w:val="auto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/>
            </w:pPr>
            <w:r>
              <w:rPr>
                <w:color w:val="auto"/>
              </w:rPr>
              <w:t>17</w:t>
            </w:r>
          </w:p>
        </w:tc>
        <w:tc>
          <w:tcPr>
            <w:tcW w:w="3261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16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</w:tbl>
    <w:p>
      <w:pPr>
        <w:pStyle w:val="Nagwek1"/>
        <w:ind w:left="0" w:hanging="0"/>
        <w:jc w:val="left"/>
        <w:rPr>
          <w:color w:val="auto"/>
        </w:rPr>
      </w:pPr>
      <w:r>
        <w:rPr>
          <w:color w:val="auto"/>
        </w:rPr>
      </w:r>
    </w:p>
    <w:tbl>
      <w:tblPr>
        <w:tblStyle w:val="TableGrid"/>
        <w:tblW w:w="10190" w:type="dxa"/>
        <w:jc w:val="left"/>
        <w:tblInd w:w="8" w:type="dxa"/>
        <w:tblCellMar>
          <w:top w:w="116" w:type="dxa"/>
          <w:left w:w="83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745"/>
        <w:gridCol w:w="9444"/>
      </w:tblGrid>
      <w:tr>
        <w:trPr>
          <w:trHeight w:val="258" w:hRule="atLeast"/>
        </w:trPr>
        <w:tc>
          <w:tcPr>
            <w:tcW w:w="1018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0"/>
              <w:ind w:left="720" w:right="353" w:hanging="360"/>
              <w:contextualSpacing/>
              <w:rPr>
                <w:b/>
                <w:b/>
                <w:smallCaps/>
                <w:color w:val="auto"/>
                <w:sz w:val="24"/>
              </w:rPr>
            </w:pPr>
            <w:r>
              <w:rPr>
                <w:b/>
                <w:smallCaps/>
                <w:color w:val="auto"/>
                <w:sz w:val="24"/>
              </w:rPr>
              <w:t>Cele kształcenia</w:t>
            </w:r>
          </w:p>
        </w:tc>
      </w:tr>
      <w:tr>
        <w:trPr>
          <w:trHeight w:val="258" w:hRule="atLeast"/>
        </w:trPr>
        <w:tc>
          <w:tcPr>
            <w:tcW w:w="74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C1</w:t>
            </w:r>
          </w:p>
        </w:tc>
        <w:tc>
          <w:tcPr>
            <w:tcW w:w="944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right="353" w:hanging="0"/>
              <w:contextualSpacing/>
              <w:rPr/>
            </w:pPr>
            <w:r>
              <w:rPr>
                <w:color w:val="auto"/>
              </w:rPr>
              <w:t xml:space="preserve">  </w:t>
            </w:r>
            <w:r>
              <w:rPr>
                <w:rFonts w:asciiTheme="minorHAnsi" w:hAnsiTheme="minorHAnsi"/>
                <w:color w:val="000000"/>
                <w:sz w:val="18"/>
              </w:rPr>
              <w:t>Zdobycie podstawowej wiedzy na temat jednostek chorobowych leczonych w oddziale chirurgii. Zapoznanie się z ogólnymi zasadami technik zabiegów operacyjnych w klinice chirurgii. Zdobycie podstawowej wiedzy teoretycznej i praktycznej dotyczącej fizjoterapii chorych w okresie przed- i pooperacyjnym.</w:t>
            </w:r>
          </w:p>
          <w:p>
            <w:pPr>
              <w:pStyle w:val="Normal"/>
              <w:spacing w:lineRule="auto" w:line="259" w:before="0" w:after="0"/>
              <w:ind w:left="0" w:right="353" w:hanging="0"/>
              <w:contextualSpacing/>
              <w:rPr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 xml:space="preserve">Wiedza: </w:t>
            </w:r>
            <w:r>
              <w:rPr>
                <w:rFonts w:asciiTheme="minorHAnsi" w:hAnsiTheme="minorHAnsi"/>
                <w:color w:val="auto"/>
              </w:rPr>
              <w:t>Rozumie i potrafi określić: wskazania, przeciwwskazania do zabiegu chirurgicznego oraz zna ogólne zasady postępowania fizjoterapeutycznego w okresie przed- i pooperacyjnym</w:t>
            </w:r>
          </w:p>
        </w:tc>
      </w:tr>
      <w:tr>
        <w:trPr>
          <w:trHeight w:val="258" w:hRule="atLeast"/>
        </w:trPr>
        <w:tc>
          <w:tcPr>
            <w:tcW w:w="74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C2</w:t>
            </w:r>
          </w:p>
        </w:tc>
        <w:tc>
          <w:tcPr>
            <w:tcW w:w="944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right="353" w:hanging="0"/>
              <w:contextualSpacing/>
              <w:rPr/>
            </w:pPr>
            <w:r>
              <w:rPr>
                <w:color w:val="auto"/>
              </w:rPr>
              <w:t xml:space="preserve">  </w:t>
            </w:r>
            <w:r>
              <w:rPr>
                <w:rFonts w:asciiTheme="minorHAnsi" w:hAnsiTheme="minorHAnsi"/>
                <w:b/>
                <w:color w:val="000000"/>
                <w:sz w:val="18"/>
              </w:rPr>
              <w:t xml:space="preserve">Umiejętności: </w:t>
            </w:r>
            <w:r>
              <w:rPr>
                <w:rFonts w:asciiTheme="minorHAnsi" w:hAnsiTheme="minorHAnsi"/>
                <w:color w:val="000000"/>
                <w:sz w:val="18"/>
              </w:rPr>
              <w:t>Potrafi określić zakres własnych możliwości w postępowaniu z pacjentem w okresie przed- i pooperacyjnym</w:t>
            </w:r>
          </w:p>
        </w:tc>
      </w:tr>
      <w:tr>
        <w:trPr>
          <w:trHeight w:val="258" w:hRule="atLeast"/>
        </w:trPr>
        <w:tc>
          <w:tcPr>
            <w:tcW w:w="74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C3</w:t>
            </w:r>
          </w:p>
        </w:tc>
        <w:tc>
          <w:tcPr>
            <w:tcW w:w="944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jc w:val="both"/>
              <w:rPr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</w:rPr>
              <w:t xml:space="preserve">Kompetencje: </w:t>
            </w:r>
            <w:r>
              <w:rPr>
                <w:rFonts w:asciiTheme="minorHAnsi" w:hAnsiTheme="minorHAnsi"/>
                <w:color w:val="auto"/>
              </w:rPr>
              <w:t>Na podstawie własnej wiedzy i umiejętności przewiduje i potrafi realizować zadania w sposób zapewniający bezpieczeństwo własne, otoczenia i współpracowników. Dba o rozwój własny, niezbędny do wykonywania zadań właściwych w działalności zawodowej fizjoterapeuty.</w:t>
            </w:r>
          </w:p>
        </w:tc>
      </w:tr>
    </w:tbl>
    <w:p>
      <w:pPr>
        <w:pStyle w:val="Nagwek1"/>
        <w:ind w:left="0" w:hanging="0"/>
        <w:jc w:val="left"/>
        <w:rPr>
          <w:color w:val="auto"/>
        </w:rPr>
      </w:pPr>
      <w:r>
        <w:rPr>
          <w:color w:val="auto"/>
        </w:rPr>
      </w:r>
    </w:p>
    <w:tbl>
      <w:tblPr>
        <w:tblStyle w:val="TableGrid"/>
        <w:tblW w:w="10190" w:type="dxa"/>
        <w:jc w:val="left"/>
        <w:tblInd w:w="8" w:type="dxa"/>
        <w:tblCellMar>
          <w:top w:w="116" w:type="dxa"/>
          <w:left w:w="83" w:type="dxa"/>
          <w:bottom w:w="0" w:type="dxa"/>
          <w:right w:w="97" w:type="dxa"/>
        </w:tblCellMar>
        <w:tblLook w:firstRow="1" w:noVBand="1" w:lastRow="0" w:firstColumn="1" w:lastColumn="0" w:noHBand="0" w:val="04a0"/>
      </w:tblPr>
      <w:tblGrid>
        <w:gridCol w:w="1526"/>
        <w:gridCol w:w="8663"/>
      </w:tblGrid>
      <w:tr>
        <w:trPr>
          <w:trHeight w:val="701" w:hRule="atLeast"/>
        </w:trPr>
        <w:tc>
          <w:tcPr>
            <w:tcW w:w="1018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agwek1"/>
              <w:numPr>
                <w:ilvl w:val="0"/>
                <w:numId w:val="1"/>
              </w:numPr>
              <w:spacing w:lineRule="auto" w:line="240" w:before="0" w:after="0"/>
              <w:jc w:val="left"/>
              <w:rPr>
                <w:smallCaps/>
                <w:color w:val="auto"/>
              </w:rPr>
            </w:pPr>
            <w:r>
              <w:rPr>
                <w:smallCaps/>
                <w:color w:val="auto"/>
              </w:rPr>
              <w:t xml:space="preserve">Standard kształcenia – Szczegółowe efekty uczenia się </w:t>
            </w:r>
          </w:p>
        </w:tc>
      </w:tr>
      <w:tr>
        <w:trPr>
          <w:trHeight w:val="1029" w:hRule="atLeast"/>
        </w:trPr>
        <w:tc>
          <w:tcPr>
            <w:tcW w:w="15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16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Symbol</w:t>
            </w:r>
          </w:p>
          <w:p>
            <w:pPr>
              <w:pStyle w:val="Normal"/>
              <w:spacing w:lineRule="auto" w:line="259" w:before="0" w:after="0"/>
              <w:ind w:left="116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i numer efektu uczenia się</w:t>
            </w:r>
          </w:p>
          <w:p>
            <w:pPr>
              <w:pStyle w:val="Normal"/>
              <w:spacing w:lineRule="auto" w:line="259" w:before="0" w:after="0"/>
              <w:ind w:left="116" w:hanging="0"/>
              <w:rPr>
                <w:color w:val="auto"/>
              </w:rPr>
            </w:pPr>
            <w:r>
              <w:rPr>
                <w:b/>
                <w:color w:val="auto"/>
              </w:rPr>
              <w:t xml:space="preserve">zgodnie ze standardami uczenia się </w:t>
            </w:r>
          </w:p>
        </w:tc>
        <w:tc>
          <w:tcPr>
            <w:tcW w:w="86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 xml:space="preserve">Efekty w zakresie </w:t>
            </w:r>
            <w:r>
              <w:rPr>
                <w:bCs/>
                <w:i/>
                <w:iCs/>
                <w:color w:val="auto"/>
                <w:sz w:val="16"/>
                <w:szCs w:val="20"/>
              </w:rPr>
              <w:t>(zgodnie z załącznikiem do Rozporządzenia Ministra NiSW  z 26 lipca 2019)</w:t>
            </w:r>
          </w:p>
        </w:tc>
      </w:tr>
      <w:tr>
        <w:trPr>
          <w:trHeight w:val="383" w:hRule="atLeast"/>
        </w:trPr>
        <w:tc>
          <w:tcPr>
            <w:tcW w:w="1018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>Wiedzy – Absolwent* zna i rozumie: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61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W1</w:t>
            </w:r>
          </w:p>
        </w:tc>
        <w:tc>
          <w:tcPr>
            <w:tcW w:w="86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bidi w:val="0"/>
              <w:spacing w:lineRule="auto" w:line="264" w:before="0" w:after="3"/>
              <w:ind w:left="10" w:hanging="10"/>
              <w:contextualSpacing/>
              <w:jc w:val="left"/>
              <w:rPr>
                <w:color w:val="auto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etiologię, patomechanizm, objawy i przebieg dysfunkcji narządu ruchu w zakresie: ortopedii i traumatologii, medycyny sportowej, reumatologii, neurologii i neurochirurgii oraz pediatrii, neurologii dziecięcej, w stopniu umożliwiającym racjonalne stosowanie środków fizjoterapii;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61" w:hanging="0"/>
              <w:jc w:val="center"/>
              <w:rPr/>
            </w:pPr>
            <w:r>
              <w:rPr>
                <w:color w:val="auto"/>
              </w:rPr>
              <w:t>W3</w:t>
            </w:r>
          </w:p>
        </w:tc>
        <w:tc>
          <w:tcPr>
            <w:tcW w:w="86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bidi w:val="0"/>
              <w:spacing w:lineRule="auto" w:line="264" w:before="0" w:after="3"/>
              <w:ind w:left="10" w:hanging="10"/>
              <w:contextualSpacing/>
              <w:jc w:val="left"/>
              <w:rPr>
                <w:color w:val="auto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etiologię, patomechanizm, objawy i przebieg najczęstszych chorób w zakresie: kardiologii i kardiochirurgii, pulmonologii, chirurgii, ginekologii i położnictwa, geriatrii, psychiatrii, intensywnej terapii, onkologii i medycyny paliatywnej, w stopniu umożliwiającym racjonalne stosowanie środków fizjoterapii;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61" w:hanging="0"/>
              <w:jc w:val="center"/>
              <w:rPr/>
            </w:pPr>
            <w:r>
              <w:rPr/>
              <w:t>W4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bidi w:val="0"/>
              <w:spacing w:lineRule="auto" w:line="259" w:before="0" w:after="0"/>
              <w:ind w:left="0" w:hanging="0"/>
              <w:contextualSpacing/>
              <w:jc w:val="both"/>
              <w:rPr>
                <w:color w:val="auto"/>
              </w:rPr>
            </w:pPr>
            <w:r>
              <w:rPr>
                <w:color w:val="auto"/>
                <w:szCs w:val="18"/>
              </w:rPr>
              <w:t>zasady diagnozowania oraz ogólne zasady i sposoby leczenia w najczęstszych chorobach w zakresie: kardiologii                    i kardiochirurgii, pulmonologii, chirurgii, ginekologii i położnictwa, geriatrii, psychiatrii, intensywnej terapii, onkologii i medycyny paliatywnej, w stopniu umożliwiającym racjonalne stosowanie środków fizjoterapii;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61" w:hanging="0"/>
              <w:jc w:val="center"/>
              <w:rPr/>
            </w:pPr>
            <w:r>
              <w:rPr/>
              <w:t>W5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bidi w:val="0"/>
              <w:spacing w:lineRule="auto" w:line="259" w:before="0" w:after="0"/>
              <w:ind w:left="0" w:hanging="0"/>
              <w:contextualSpacing/>
              <w:jc w:val="both"/>
              <w:rPr>
                <w:color w:val="auto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zasady postępowania z pacjentem: nieprzytomnym, po urazie wielomiejscowym i wielonarządowym, z uszkodzeniem kręgosłupa i rdzenia kręgowego, kończyny górnej i kończyny dolnej, w zakresie bezpiecznego stosowania metod fizjoterapii;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61" w:hanging="0"/>
              <w:jc w:val="center"/>
              <w:rPr/>
            </w:pPr>
            <w:r>
              <w:rPr/>
              <w:t>W6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bidi w:val="0"/>
              <w:spacing w:lineRule="auto" w:line="259" w:before="0" w:after="0"/>
              <w:ind w:left="0" w:hanging="0"/>
              <w:contextualSpacing/>
              <w:jc w:val="both"/>
              <w:rPr>
                <w:color w:val="auto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ogólne zasady podmiotowego i przedmiotowego badania kardiologicznego, neurologicznego, ortopedycznego i geriatrycznego;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61" w:hanging="0"/>
              <w:jc w:val="center"/>
              <w:rPr/>
            </w:pPr>
            <w:r>
              <w:rPr/>
              <w:t>W10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tabs>
                <w:tab w:val="clear" w:pos="253"/>
                <w:tab w:val="left" w:pos="1032" w:leader="none"/>
              </w:tabs>
              <w:bidi w:val="0"/>
              <w:spacing w:lineRule="auto" w:line="240" w:before="0" w:after="0"/>
              <w:ind w:left="0" w:hanging="0"/>
              <w:contextualSpacing/>
              <w:jc w:val="both"/>
              <w:rPr>
                <w:color w:val="auto"/>
              </w:rPr>
            </w:pPr>
            <w:r>
              <w:rPr>
                <w:color w:val="auto"/>
                <w:szCs w:val="24"/>
              </w:rPr>
              <w:t>zasady kwalifikacji do zabiegów operacyjnych oraz podstawowe zabiegi operacyjne, w tym amputacje z przyczyn naczyniowych, i zabiegi z zakresu chirurgii małoinwazyjnej;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61" w:hanging="0"/>
              <w:jc w:val="center"/>
              <w:rPr/>
            </w:pPr>
            <w:r>
              <w:rPr/>
              <w:t>W12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tabs>
                <w:tab w:val="clear" w:pos="253"/>
                <w:tab w:val="left" w:pos="1032" w:leader="none"/>
              </w:tabs>
              <w:bidi w:val="0"/>
              <w:spacing w:lineRule="auto" w:line="264" w:before="0" w:after="3"/>
              <w:ind w:left="10" w:right="0" w:hanging="10"/>
              <w:contextualSpacing/>
              <w:jc w:val="left"/>
              <w:rPr>
                <w:color w:val="auto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Cs w:val="18"/>
                <w:u w:val="none"/>
                <w:em w:val="none"/>
              </w:rPr>
              <w:t>fizjologię procesu starzenia się oraz zasady opieki i fizjoterapii geriatrycznej;fizjologię procesu starzenia się oraz zasady opieki i fizjoterapii geriatrycznej;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61" w:hanging="0"/>
              <w:jc w:val="center"/>
              <w:rPr/>
            </w:pPr>
            <w:r>
              <w:rPr/>
              <w:t>W13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tabs>
                <w:tab w:val="clear" w:pos="253"/>
                <w:tab w:val="left" w:pos="827" w:leader="none"/>
              </w:tabs>
              <w:bidi w:val="0"/>
              <w:spacing w:lineRule="auto" w:line="240" w:before="0" w:after="0"/>
              <w:ind w:left="0" w:hanging="0"/>
              <w:contextualSpacing/>
              <w:jc w:val="both"/>
              <w:rPr>
                <w:color w:val="auto"/>
              </w:rPr>
            </w:pPr>
            <w:r>
              <w:rPr>
                <w:color w:val="auto"/>
                <w:szCs w:val="24"/>
              </w:rPr>
              <w:t>zagrożenia związane z hospitalizacją osób starszych;</w:t>
            </w:r>
          </w:p>
        </w:tc>
      </w:tr>
      <w:tr>
        <w:trPr>
          <w:trHeight w:val="383" w:hRule="atLeast"/>
        </w:trPr>
        <w:tc>
          <w:tcPr>
            <w:tcW w:w="1018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>Umiejętności – Absolwent* potrafi: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5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U1</w:t>
            </w:r>
          </w:p>
        </w:tc>
        <w:tc>
          <w:tcPr>
            <w:tcW w:w="86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jc w:val="both"/>
              <w:rPr>
                <w:color w:val="auto"/>
              </w:rPr>
            </w:pPr>
            <w:r>
              <w:rPr>
                <w:color w:val="auto"/>
                <w:szCs w:val="18"/>
              </w:rPr>
              <w:t>przeprowadzić szczegółowe badanie dla potrzeb fizjoterapii i testy funkcjonalne układu ruchu oraz zapisać                           i zinterpretować jego wyniki;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15" w:hanging="0"/>
              <w:jc w:val="center"/>
              <w:rPr/>
            </w:pPr>
            <w:r>
              <w:rPr>
                <w:color w:val="auto"/>
              </w:rPr>
              <w:t>U4</w:t>
            </w:r>
          </w:p>
        </w:tc>
        <w:tc>
          <w:tcPr>
            <w:tcW w:w="86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ind w:left="0" w:hanging="0"/>
              <w:contextualSpacing/>
              <w:rPr>
                <w:color w:val="auto"/>
              </w:rPr>
            </w:pPr>
            <w:r>
              <w:rPr>
                <w:b w:val="false"/>
                <w:bCs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dobierać – w zależności od stanu klinicznego i funkcjonalnego pacjenta – i wykonywać zabiegi z zakresu fizjoterapii u osób po urazach w obrębie tkanek miękkich układu ruchu leczonych zachowawczo i operacyjnie, po urazach w obrębie kończyn (stłuczeniach, skręceniach, zwichnięciach i złamaniach) leczonych zachowawczo i operacyjnie, po urazach kręgosłupa bez porażeń oraz w przypadku stabilnych i niestabilnych złamań kręgosłupa;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15" w:hanging="0"/>
              <w:jc w:val="center"/>
              <w:rPr/>
            </w:pPr>
            <w:r>
              <w:rPr/>
              <w:t>U5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bidi w:val="0"/>
              <w:spacing w:lineRule="auto" w:line="264" w:before="0" w:after="3"/>
              <w:ind w:left="10" w:hanging="10"/>
              <w:contextualSpacing/>
              <w:jc w:val="left"/>
              <w:rPr>
                <w:color w:val="auto"/>
              </w:rPr>
            </w:pPr>
            <w:r>
              <w:rPr>
                <w:color w:val="auto"/>
                <w:szCs w:val="18"/>
              </w:rPr>
              <w:t>obierać – w zależności od stanu klinicznego i funkcjonalnego pacjenta – i wykonywać zabiegi z zakresu fizjoterapii osób po amputacjach planowanych (postępowanie przed- i pooperacyjne) oraz urazowych, prowadzić naukę chodzenia w protezie oraz postępowanie po amputacjach kończyn górnych, w tym instruktaż w zakresie posługiwania się protezą;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15" w:hanging="0"/>
              <w:jc w:val="center"/>
              <w:rPr/>
            </w:pPr>
            <w:r>
              <w:rPr/>
              <w:t>U37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bidi w:val="0"/>
              <w:spacing w:lineRule="auto" w:line="264" w:before="0" w:after="3"/>
              <w:ind w:left="10" w:hanging="10"/>
              <w:contextualSpacing/>
              <w:jc w:val="left"/>
              <w:rPr>
                <w:color w:val="auto"/>
              </w:rPr>
            </w:pPr>
            <w:r>
              <w:rPr>
                <w:color w:val="auto"/>
                <w:szCs w:val="24"/>
              </w:rPr>
              <w:t>planować, dobierać – w zależności od stanu klinicznego i funkcjonalnego pacjenta – i wykonywać zabiegi fizjoterapeutyczne u pacjentów z czynnościowymi i organicznymi chorobami naczyń obwodowych oraz pacjentów po amputacji z przyczyn naczyniowych;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15" w:hanging="0"/>
              <w:jc w:val="center"/>
              <w:rPr/>
            </w:pPr>
            <w:r>
              <w:rPr/>
              <w:t>U38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bidi w:val="0"/>
              <w:spacing w:lineRule="auto" w:line="264" w:before="0" w:after="3"/>
              <w:ind w:left="10" w:hanging="10"/>
              <w:contextualSpacing/>
              <w:jc w:val="left"/>
              <w:rPr>
                <w:color w:val="auto"/>
              </w:rPr>
            </w:pPr>
            <w:r>
              <w:rPr>
                <w:color w:val="auto"/>
                <w:szCs w:val="24"/>
              </w:rPr>
              <w:t>wdrażać strategię wczesnego uruchamiania pacjenta po zabiegu na jamie brzusznej lub klatce piersiowej, wykonywać zabiegi fizjoterapeutyczne rozprężające płuca i ułatwiające oczyszczanie oskrzeli, instruować w zakresie profilaktyki wczesnych i późnych powikłań pooperacyjnych oraz udzielać zaleceń dotyczących pooperacyjnej fizjoterapii ambulatoryjnej;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15" w:hanging="0"/>
              <w:jc w:val="center"/>
              <w:rPr/>
            </w:pPr>
            <w:r>
              <w:rPr/>
              <w:t>U47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bidi w:val="0"/>
              <w:spacing w:lineRule="auto" w:line="264" w:before="0" w:after="3"/>
              <w:ind w:left="10" w:hanging="10"/>
              <w:contextualSpacing/>
              <w:jc w:val="left"/>
              <w:rPr>
                <w:color w:val="auto"/>
              </w:rPr>
            </w:pPr>
            <w:r>
              <w:rPr>
                <w:color w:val="auto"/>
                <w:szCs w:val="24"/>
              </w:rPr>
              <w:t>stosować zasady prawidłowej komunikacji z pacjentem oraz komunikować się z innymi członkami zespołu terapeutycznego;</w:t>
            </w:r>
          </w:p>
        </w:tc>
      </w:tr>
      <w:tr>
        <w:trPr>
          <w:trHeight w:val="383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15" w:hanging="0"/>
              <w:jc w:val="center"/>
              <w:rPr/>
            </w:pPr>
            <w:r>
              <w:rPr/>
              <w:t>U48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10" w:hanging="10"/>
              <w:contextualSpacing/>
              <w:jc w:val="left"/>
              <w:rPr>
                <w:color w:val="auto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podejmować działania mające na celu poprawę jakości życia pacjenta, w tym pacjenta w okresie terminalnym, z zastosowaniem sprzętu rehabilitacyjnego;</w:t>
            </w:r>
          </w:p>
        </w:tc>
      </w:tr>
    </w:tbl>
    <w:p>
      <w:pPr>
        <w:pStyle w:val="Normal"/>
        <w:spacing w:lineRule="auto" w:line="259" w:before="0" w:after="11"/>
        <w:rPr>
          <w:bCs/>
          <w:i/>
          <w:i/>
          <w:iCs/>
          <w:color w:val="auto"/>
          <w:sz w:val="16"/>
          <w:szCs w:val="14"/>
        </w:rPr>
      </w:pPr>
      <w:r>
        <w:rPr>
          <w:bCs/>
          <w:i/>
          <w:iCs/>
          <w:color w:val="auto"/>
          <w:sz w:val="16"/>
          <w:szCs w:val="14"/>
        </w:rPr>
        <w:t>*W załącznikach do Rozporządzenia Ministra NiSW z 26 lipca 2019 wspomina się o „absolwencie”, a nie studencie</w:t>
      </w:r>
    </w:p>
    <w:p>
      <w:pPr>
        <w:pStyle w:val="Normal"/>
        <w:spacing w:lineRule="auto" w:line="259" w:before="0" w:after="11"/>
        <w:ind w:left="0" w:hanging="0"/>
        <w:rPr>
          <w:bCs/>
          <w:i/>
          <w:i/>
          <w:iCs/>
          <w:color w:val="auto"/>
          <w:sz w:val="16"/>
          <w:szCs w:val="14"/>
        </w:rPr>
      </w:pPr>
      <w:r>
        <w:rPr>
          <w:bCs/>
          <w:i/>
          <w:iCs/>
          <w:color w:val="auto"/>
          <w:sz w:val="16"/>
          <w:szCs w:val="14"/>
        </w:rPr>
      </w:r>
    </w:p>
    <w:tbl>
      <w:tblPr>
        <w:tblStyle w:val="TableGrid"/>
        <w:tblW w:w="10190" w:type="dxa"/>
        <w:jc w:val="left"/>
        <w:tblInd w:w="8" w:type="dxa"/>
        <w:tblCellMar>
          <w:top w:w="116" w:type="dxa"/>
          <w:left w:w="83" w:type="dxa"/>
          <w:bottom w:w="0" w:type="dxa"/>
          <w:right w:w="97" w:type="dxa"/>
        </w:tblCellMar>
        <w:tblLook w:firstRow="1" w:noVBand="1" w:lastRow="0" w:firstColumn="1" w:lastColumn="0" w:noHBand="0" w:val="04a0"/>
      </w:tblPr>
      <w:tblGrid>
        <w:gridCol w:w="1526"/>
        <w:gridCol w:w="8663"/>
      </w:tblGrid>
      <w:tr>
        <w:trPr>
          <w:trHeight w:val="509" w:hRule="atLeast"/>
        </w:trPr>
        <w:tc>
          <w:tcPr>
            <w:tcW w:w="1018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0"/>
              <w:contextualSpacing/>
              <w:rPr>
                <w:b/>
                <w:b/>
                <w:color w:val="auto"/>
              </w:rPr>
            </w:pPr>
            <w:r>
              <w:rPr>
                <w:b/>
                <w:smallCaps/>
                <w:color w:val="auto"/>
                <w:sz w:val="24"/>
              </w:rPr>
              <w:t>Pozostałe efekty uczenia się</w:t>
            </w:r>
            <w:r>
              <w:rPr>
                <w:b/>
                <w:color w:val="auto"/>
                <w:sz w:val="24"/>
              </w:rPr>
              <w:t xml:space="preserve"> </w:t>
            </w:r>
          </w:p>
        </w:tc>
      </w:tr>
      <w:tr>
        <w:trPr>
          <w:trHeight w:val="777" w:hRule="atLeast"/>
        </w:trPr>
        <w:tc>
          <w:tcPr>
            <w:tcW w:w="15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16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Numer efektu uczenia się</w:t>
            </w:r>
          </w:p>
        </w:tc>
        <w:tc>
          <w:tcPr>
            <w:tcW w:w="86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/>
                <w:b/>
                <w:color w:val="A6A6A6" w:themeColor="background1" w:themeShade="a6"/>
              </w:rPr>
            </w:pPr>
            <w:r>
              <w:rPr>
                <w:bCs/>
                <w:i/>
                <w:iCs/>
                <w:color w:val="A6A6A6" w:themeColor="background1" w:themeShade="a6"/>
                <w:sz w:val="16"/>
                <w:szCs w:val="14"/>
              </w:rPr>
              <w:t>(pole nieobowiązkowe)</w:t>
            </w:r>
          </w:p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>Efekty w zakresie</w:t>
            </w:r>
          </w:p>
        </w:tc>
      </w:tr>
      <w:tr>
        <w:trPr>
          <w:trHeight w:val="367" w:hRule="atLeast"/>
        </w:trPr>
        <w:tc>
          <w:tcPr>
            <w:tcW w:w="1018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>Wiedzy – Absolwent zna i rozumie:</w:t>
            </w:r>
          </w:p>
        </w:tc>
      </w:tr>
      <w:tr>
        <w:trPr>
          <w:trHeight w:val="367" w:hRule="atLeast"/>
        </w:trPr>
        <w:tc>
          <w:tcPr>
            <w:tcW w:w="15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61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W1</w:t>
            </w:r>
          </w:p>
        </w:tc>
        <w:tc>
          <w:tcPr>
            <w:tcW w:w="86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 w:val="false"/>
                <w:b w:val="false"/>
                <w:bCs w:val="false"/>
                <w:color w:val="auto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9"/>
                <w:u w:val="none"/>
                <w:em w:val="none"/>
              </w:rPr>
              <w:t xml:space="preserve">problematykę z zakresu dyscypliny naukowej - nauki medyczne w tym etiologię, patomechanizm, objawy i przebieg najczęstszych chorób; </w:t>
            </w:r>
          </w:p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367" w:hRule="atLeast"/>
        </w:trPr>
        <w:tc>
          <w:tcPr>
            <w:tcW w:w="15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61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W2</w:t>
            </w:r>
          </w:p>
        </w:tc>
        <w:tc>
          <w:tcPr>
            <w:tcW w:w="86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19"/>
                <w:u w:val="none"/>
                <w:em w:val="none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19"/>
                <w:u w:val="none"/>
                <w:em w:val="none"/>
              </w:rPr>
              <w:t>zalecenia do stosowania fizjoterapii w określonych stanach chorobowych;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19"/>
                <w:u w:val="none"/>
                <w:em w:val="none"/>
              </w:rPr>
              <w:t xml:space="preserve"> </w:t>
            </w:r>
          </w:p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367" w:hRule="atLeast"/>
        </w:trPr>
        <w:tc>
          <w:tcPr>
            <w:tcW w:w="1018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>Umiejętności – Absolwent potrafi:</w:t>
            </w:r>
          </w:p>
        </w:tc>
      </w:tr>
      <w:tr>
        <w:trPr>
          <w:trHeight w:val="367" w:hRule="atLeast"/>
        </w:trPr>
        <w:tc>
          <w:tcPr>
            <w:tcW w:w="15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15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U1</w:t>
            </w:r>
          </w:p>
        </w:tc>
        <w:tc>
          <w:tcPr>
            <w:tcW w:w="86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b w:val="false"/>
                <w:b w:val="false"/>
                <w:bCs w:val="false"/>
                <w:color w:val="auto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19"/>
                <w:u w:val="none"/>
                <w:em w:val="none"/>
              </w:rPr>
              <w:t>komunikować się ze współpracownikami w zespole i dzielić się wiedzą</w:t>
            </w:r>
          </w:p>
          <w:p>
            <w:pPr>
              <w:pStyle w:val="Normal"/>
              <w:spacing w:lineRule="auto" w:line="259" w:before="0" w:after="0"/>
              <w:ind w:left="0" w:hanging="0"/>
              <w:rPr>
                <w:rFonts w:ascii="Times New Roman" w:hAnsi="Times New Roman"/>
                <w:b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</w:pP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</w:r>
          </w:p>
        </w:tc>
      </w:tr>
      <w:tr>
        <w:trPr>
          <w:trHeight w:val="367" w:hRule="atLeast"/>
        </w:trPr>
        <w:tc>
          <w:tcPr>
            <w:tcW w:w="15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15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U2</w:t>
            </w:r>
          </w:p>
        </w:tc>
        <w:tc>
          <w:tcPr>
            <w:tcW w:w="86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19"/>
                <w:u w:val="none"/>
                <w:em w:val="none"/>
              </w:rPr>
            </w:pPr>
            <w:r>
              <w:rPr>
                <w:color w:val="auto"/>
              </w:rPr>
            </w:r>
          </w:p>
        </w:tc>
      </w:tr>
      <w:tr>
        <w:trPr>
          <w:trHeight w:val="367" w:hRule="atLeast"/>
        </w:trPr>
        <w:tc>
          <w:tcPr>
            <w:tcW w:w="10189" w:type="dxa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>Kompetencji społecznych – Absolwent jest gotów do:</w:t>
            </w:r>
          </w:p>
        </w:tc>
      </w:tr>
      <w:tr>
        <w:trPr>
          <w:trHeight w:val="367" w:hRule="atLeast"/>
        </w:trPr>
        <w:tc>
          <w:tcPr>
            <w:tcW w:w="15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K1</w:t>
            </w:r>
          </w:p>
        </w:tc>
        <w:tc>
          <w:tcPr>
            <w:tcW w:w="86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rFonts w:cs="Calibri" w:cstheme="minorHAnsi"/>
                <w:color w:val="auto"/>
                <w:szCs w:val="18"/>
              </w:rPr>
              <w:t>nawiązania i utrzymania pełnego szacunku kontaktu z pacjentem, a także okazywania zrozumienia dla różnic światopoglądowych i kulturowych;</w:t>
            </w:r>
          </w:p>
        </w:tc>
      </w:tr>
      <w:tr>
        <w:trPr>
          <w:trHeight w:val="367" w:hRule="atLeast"/>
        </w:trPr>
        <w:tc>
          <w:tcPr>
            <w:tcW w:w="15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K2</w:t>
            </w:r>
          </w:p>
        </w:tc>
        <w:tc>
          <w:tcPr>
            <w:tcW w:w="86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rFonts w:cs="Calibri" w:cstheme="minorHAnsi"/>
                <w:color w:val="auto"/>
                <w:szCs w:val="18"/>
              </w:rPr>
              <w:t>wykonywania zawodu, będąc świadomym roli, jaką fizjoterapeuta pełni na rzecz społeczeństwa, w tym społeczności lokalnej;</w:t>
            </w:r>
          </w:p>
        </w:tc>
      </w:tr>
      <w:tr>
        <w:trPr>
          <w:trHeight w:val="367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/>
            </w:pPr>
            <w:r>
              <w:rPr/>
              <w:t>K3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rFonts w:cs="Calibri" w:cstheme="minorHAnsi"/>
                <w:color w:val="auto"/>
                <w:szCs w:val="18"/>
              </w:rPr>
              <w:t>prezentowania postawy promującej zdrowy styl życia, propagowania i aktywnego kreowania zdrowego stylu życia i promocji zdrowia w trakcie działań związanych z wykonywaniem zawodu i określania poziomu sprawności niezbędnego do wykonywania zawodu fizjoterapeuty;</w:t>
            </w:r>
          </w:p>
        </w:tc>
      </w:tr>
      <w:tr>
        <w:trPr>
          <w:trHeight w:val="367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/>
            </w:pPr>
            <w:r>
              <w:rPr/>
              <w:t>K4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rFonts w:cs="Calibri" w:cstheme="minorHAnsi"/>
                <w:color w:val="auto"/>
                <w:szCs w:val="18"/>
              </w:rPr>
              <w:t>przestrzegania praw pacjenta i zasad etyki zawodowej;</w:t>
            </w:r>
          </w:p>
        </w:tc>
      </w:tr>
      <w:tr>
        <w:trPr>
          <w:trHeight w:val="367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/>
            </w:pPr>
            <w:r>
              <w:rPr/>
              <w:t>K5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rFonts w:cs="Calibri" w:cstheme="minorHAnsi"/>
                <w:color w:val="auto"/>
                <w:szCs w:val="18"/>
              </w:rPr>
              <w:t>dostrzegania i rozpoznawania własnych ograniczeń, dokonywania samooceny deficytów i potrzeb edukacyjnych;</w:t>
            </w:r>
          </w:p>
        </w:tc>
      </w:tr>
      <w:tr>
        <w:trPr>
          <w:trHeight w:val="409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/>
            </w:pPr>
            <w:r>
              <w:rPr/>
              <w:t>K6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rFonts w:cs="Calibri" w:cstheme="minorHAnsi"/>
                <w:color w:val="auto"/>
                <w:szCs w:val="18"/>
              </w:rPr>
              <w:t>korzystania z obiektywnych źródeł informacji;</w:t>
            </w:r>
          </w:p>
        </w:tc>
      </w:tr>
      <w:tr>
        <w:trPr>
          <w:trHeight w:val="409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/>
            </w:pPr>
            <w:r>
              <w:rPr/>
              <w:t>K7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rFonts w:cs="Calibri" w:cstheme="minorHAnsi"/>
                <w:color w:val="auto"/>
                <w:szCs w:val="18"/>
              </w:rPr>
              <w:t>wdrażania zasad koleżeństwa zawodowego i współpracy w zespole specjalistów, w tym z przedstawicielami innych zawodów medycznych, także w środowisku wielokulturowym i wielonarodowościowym;</w:t>
            </w:r>
          </w:p>
        </w:tc>
      </w:tr>
      <w:tr>
        <w:trPr>
          <w:trHeight w:val="409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/>
            </w:pPr>
            <w:r>
              <w:rPr/>
              <w:t>K8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rFonts w:cs="Calibri" w:cstheme="minorHAnsi"/>
                <w:color w:val="auto"/>
                <w:szCs w:val="18"/>
              </w:rPr>
              <w:t>formułowania opinii dotyczących różnych aspektów działalności zawodowej;</w:t>
            </w:r>
          </w:p>
        </w:tc>
      </w:tr>
      <w:tr>
        <w:trPr>
          <w:trHeight w:val="409" w:hRule="atLeast"/>
        </w:trPr>
        <w:tc>
          <w:tcPr>
            <w:tcW w:w="152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/>
            </w:pPr>
            <w:r>
              <w:rPr/>
              <w:t>K9</w:t>
            </w:r>
          </w:p>
        </w:tc>
        <w:tc>
          <w:tcPr>
            <w:tcW w:w="8663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rFonts w:cs="Calibri" w:cstheme="minorHAnsi"/>
                <w:color w:val="auto"/>
                <w:szCs w:val="18"/>
              </w:rPr>
              <w:t>przyjęcia odpowiedzialności związanej z decyzjami podejmowanymi w ramach działalności zawodowej, w tym w kategoriach bezpieczeństwa własnego i innych osób;</w:t>
            </w:r>
          </w:p>
        </w:tc>
      </w:tr>
    </w:tbl>
    <w:p>
      <w:pPr>
        <w:pStyle w:val="Normal"/>
        <w:spacing w:lineRule="auto" w:line="259" w:before="0" w:after="11"/>
        <w:jc w:val="center"/>
        <w:rPr>
          <w:b/>
          <w:b/>
          <w:color w:val="auto"/>
          <w:sz w:val="24"/>
        </w:rPr>
      </w:pPr>
      <w:r>
        <w:rPr>
          <w:b/>
          <w:color w:val="auto"/>
          <w:sz w:val="24"/>
        </w:rPr>
      </w:r>
    </w:p>
    <w:p>
      <w:pPr>
        <w:pStyle w:val="Normal"/>
        <w:spacing w:lineRule="auto" w:line="259" w:before="0" w:after="11"/>
        <w:ind w:left="0" w:hanging="0"/>
        <w:jc w:val="center"/>
        <w:rPr>
          <w:color w:val="auto"/>
        </w:rPr>
      </w:pPr>
      <w:r>
        <w:rPr>
          <w:color w:val="auto"/>
        </w:rPr>
      </w:r>
    </w:p>
    <w:p>
      <w:pPr>
        <w:pStyle w:val="Normal"/>
        <w:spacing w:lineRule="auto" w:line="259" w:before="0" w:after="11"/>
        <w:ind w:left="0" w:hanging="0"/>
        <w:jc w:val="center"/>
        <w:rPr>
          <w:color w:val="auto"/>
        </w:rPr>
      </w:pPr>
      <w:r>
        <w:rPr>
          <w:color w:val="auto"/>
        </w:rPr>
      </w:r>
    </w:p>
    <w:tbl>
      <w:tblPr>
        <w:tblStyle w:val="TableGrid"/>
        <w:tblW w:w="10190" w:type="dxa"/>
        <w:jc w:val="left"/>
        <w:tblInd w:w="8" w:type="dxa"/>
        <w:tblCellMar>
          <w:top w:w="116" w:type="dxa"/>
          <w:left w:w="83" w:type="dxa"/>
          <w:bottom w:w="0" w:type="dxa"/>
          <w:right w:w="87" w:type="dxa"/>
        </w:tblCellMar>
        <w:tblLook w:firstRow="1" w:noVBand="1" w:lastRow="0" w:firstColumn="1" w:lastColumn="0" w:noHBand="0" w:val="04a0"/>
      </w:tblPr>
      <w:tblGrid>
        <w:gridCol w:w="2246"/>
        <w:gridCol w:w="5387"/>
        <w:gridCol w:w="2557"/>
      </w:tblGrid>
      <w:tr>
        <w:trPr>
          <w:trHeight w:val="265" w:hRule="atLeast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0"/>
              <w:ind w:left="720" w:right="235" w:hanging="360"/>
              <w:contextualSpacing/>
              <w:rPr>
                <w:b/>
                <w:b/>
                <w:smallCaps/>
                <w:color w:val="auto"/>
              </w:rPr>
            </w:pPr>
            <w:r>
              <w:rPr>
                <w:b/>
                <w:smallCaps/>
                <w:color w:val="auto"/>
                <w:sz w:val="24"/>
              </w:rPr>
              <w:t>Zajęcia</w:t>
            </w:r>
          </w:p>
        </w:tc>
      </w:tr>
      <w:tr>
        <w:trPr>
          <w:trHeight w:val="265" w:hRule="atLeast"/>
        </w:trPr>
        <w:tc>
          <w:tcPr>
            <w:tcW w:w="22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5" w:hanging="0"/>
              <w:rPr>
                <w:color w:val="auto"/>
              </w:rPr>
            </w:pPr>
            <w:r>
              <w:rPr>
                <w:b/>
                <w:color w:val="auto"/>
              </w:rPr>
              <w:t>Forma zajęć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rPr>
                <w:color w:val="auto"/>
              </w:rPr>
            </w:pPr>
            <w:r>
              <w:rPr>
                <w:b/>
                <w:color w:val="auto"/>
              </w:rPr>
              <w:t>Treści programowe</w:t>
            </w:r>
          </w:p>
        </w:tc>
        <w:tc>
          <w:tcPr>
            <w:tcW w:w="25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right="235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Efekty uczenia się</w:t>
            </w:r>
          </w:p>
        </w:tc>
      </w:tr>
      <w:tr>
        <w:trPr>
          <w:trHeight w:val="265" w:hRule="atLeast"/>
        </w:trPr>
        <w:tc>
          <w:tcPr>
            <w:tcW w:w="22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5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W1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/>
            </w:pPr>
            <w:r>
              <w:rPr>
                <w:color w:val="auto"/>
              </w:rPr>
              <w:t>Wprowadzenie do podstawowych technik operacyjnych w chirurgii jamy brzusznej. Podstawowe powikłania chirurgiczne-</w:t>
            </w:r>
          </w:p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>dr n. med Małgorzata Polańska-Płachta</w:t>
            </w:r>
          </w:p>
        </w:tc>
        <w:tc>
          <w:tcPr>
            <w:tcW w:w="25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ind w:left="0" w:right="-462" w:hanging="0"/>
              <w:contextualSpacing/>
              <w:jc w:val="both"/>
              <w:rPr>
                <w:color w:val="auto"/>
              </w:rPr>
            </w:pPr>
            <w:r>
              <w:rPr>
                <w:color w:val="auto"/>
              </w:rPr>
              <w:t>W3, W4,W10, W12, W13</w:t>
            </w:r>
          </w:p>
        </w:tc>
      </w:tr>
      <w:tr>
        <w:trPr>
          <w:trHeight w:val="265" w:hRule="atLeast"/>
        </w:trPr>
        <w:tc>
          <w:tcPr>
            <w:tcW w:w="22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5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W2</w:t>
            </w:r>
          </w:p>
        </w:tc>
        <w:tc>
          <w:tcPr>
            <w:tcW w:w="53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color w:val="auto"/>
              </w:rPr>
              <w:t>Amputacje kończyn dolnych- ostre i przewlekłe niedokrwienia- dr Mateusz Burdzel</w:t>
            </w:r>
          </w:p>
        </w:tc>
        <w:tc>
          <w:tcPr>
            <w:tcW w:w="255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>
                <w:color w:val="auto"/>
              </w:rPr>
              <w:t>W1, W3,W5, U4</w:t>
            </w:r>
          </w:p>
        </w:tc>
      </w:tr>
      <w:tr>
        <w:trPr>
          <w:trHeight w:val="265" w:hRule="atLeast"/>
        </w:trPr>
        <w:tc>
          <w:tcPr>
            <w:tcW w:w="224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5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W3</w:t>
            </w:r>
          </w:p>
        </w:tc>
        <w:tc>
          <w:tcPr>
            <w:tcW w:w="538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/>
            </w:pPr>
            <w:r>
              <w:rPr>
                <w:color w:val="auto"/>
              </w:rPr>
              <w:t>Problemy okołooperacyjne u osób w wieku podeszłym-</w:t>
            </w:r>
          </w:p>
          <w:p>
            <w:pPr>
              <w:pStyle w:val="Normal"/>
              <w:spacing w:lineRule="auto" w:line="259" w:before="0" w:after="0"/>
              <w:ind w:left="0" w:hanging="0"/>
              <w:contextualSpacing/>
              <w:rPr/>
            </w:pPr>
            <w:r>
              <w:rPr>
                <w:color w:val="auto"/>
              </w:rPr>
              <w:t>lek.med Simon Ziemka</w:t>
            </w:r>
          </w:p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255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ind w:left="0" w:right="-462" w:hanging="0"/>
              <w:contextualSpacing/>
              <w:jc w:val="both"/>
              <w:rPr/>
            </w:pPr>
            <w:r>
              <w:rPr>
                <w:color w:val="auto"/>
              </w:rPr>
              <w:t xml:space="preserve">W4,W10, W12,W13, </w:t>
            </w:r>
          </w:p>
          <w:p>
            <w:pPr>
              <w:pStyle w:val="Normal"/>
              <w:spacing w:lineRule="auto" w:line="240" w:before="0" w:after="0"/>
              <w:ind w:left="0" w:right="-462" w:hanging="0"/>
              <w:contextualSpacing/>
              <w:jc w:val="both"/>
              <w:rPr/>
            </w:pP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W3, U47 </w:t>
            </w:r>
          </w:p>
        </w:tc>
      </w:tr>
      <w:tr>
        <w:trPr>
          <w:trHeight w:val="265" w:hRule="atLeast"/>
        </w:trPr>
        <w:tc>
          <w:tcPr>
            <w:tcW w:w="224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5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S1</w:t>
            </w:r>
          </w:p>
        </w:tc>
        <w:tc>
          <w:tcPr>
            <w:tcW w:w="538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/>
            </w:pPr>
            <w:r>
              <w:rPr>
                <w:rFonts w:asciiTheme="minorHAnsi" w:hAnsiTheme="minorHAnsi"/>
                <w:sz w:val="20"/>
              </w:rPr>
              <w:t>Czynniki ryzyka pooperacyjnych powikłań krążeniowo-oddechowych.</w:t>
            </w:r>
          </w:p>
          <w:p>
            <w:pPr>
              <w:pStyle w:val="Normal"/>
              <w:spacing w:lineRule="auto" w:line="259" w:before="0" w:after="0"/>
              <w:ind w:left="0" w:hanging="0"/>
              <w:contextualSpacing/>
              <w:rPr/>
            </w:pPr>
            <w:r>
              <w:rPr>
                <w:rFonts w:asciiTheme="minorHAnsi" w:hAnsiTheme="minorHAnsi"/>
                <w:color w:val="auto"/>
                <w:sz w:val="20"/>
              </w:rPr>
              <w:t>Wpływ unieruchomienia na stan ogólny chorego po operacji w obrębie jamy brzusznej</w:t>
            </w:r>
            <w:r>
              <w:rPr>
                <w:color w:val="auto"/>
                <w:sz w:val="20"/>
              </w:rPr>
              <w:t>- mgr Hanna Wiszniewska</w:t>
            </w:r>
          </w:p>
        </w:tc>
        <w:tc>
          <w:tcPr>
            <w:tcW w:w="255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tabs>
                <w:tab w:val="clear" w:pos="253"/>
                <w:tab w:val="left" w:pos="7410" w:leader="none"/>
              </w:tabs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>
                <w:color w:val="auto"/>
              </w:rPr>
              <w:t>W5, W6, U37,U48,  K1, K2, K3, K4, K5, K6, K7, K8, K9, U1,  U5</w:t>
            </w:r>
          </w:p>
        </w:tc>
      </w:tr>
      <w:tr>
        <w:trPr>
          <w:trHeight w:val="265" w:hRule="atLeast"/>
        </w:trPr>
        <w:tc>
          <w:tcPr>
            <w:tcW w:w="224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5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S2</w:t>
            </w:r>
          </w:p>
        </w:tc>
        <w:tc>
          <w:tcPr>
            <w:tcW w:w="538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/>
            </w:pPr>
            <w:r>
              <w:rPr>
                <w:rFonts w:asciiTheme="minorHAnsi" w:hAnsiTheme="minorHAnsi"/>
                <w:sz w:val="20"/>
              </w:rPr>
              <w:t>Anatomia topograficzna chirurgii dla fizjoterapeutów- lek. med  Inga Kowalczyk</w:t>
            </w:r>
          </w:p>
        </w:tc>
        <w:tc>
          <w:tcPr>
            <w:tcW w:w="255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tabs>
                <w:tab w:val="clear" w:pos="253"/>
                <w:tab w:val="left" w:pos="7410" w:leader="none"/>
              </w:tabs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>
                <w:color w:val="auto"/>
              </w:rPr>
              <w:t>U1, U38</w:t>
            </w:r>
          </w:p>
        </w:tc>
      </w:tr>
      <w:tr>
        <w:trPr>
          <w:trHeight w:val="265" w:hRule="atLeast"/>
        </w:trPr>
        <w:tc>
          <w:tcPr>
            <w:tcW w:w="224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5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S3</w:t>
            </w:r>
          </w:p>
        </w:tc>
        <w:tc>
          <w:tcPr>
            <w:tcW w:w="538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/>
            </w:pPr>
            <w:r>
              <w:rPr/>
              <w:t>Przeprowadzenie wywiadu dla potrzeb fizjoterapii,</w:t>
            </w:r>
            <w:r>
              <w:rPr>
                <w:rFonts w:asciiTheme="minorHAnsi" w:hAnsiTheme="minorHAnsi"/>
                <w:color w:val="000000"/>
                <w:sz w:val="20"/>
              </w:rPr>
              <w:t>Rehabilitacja chorych po operacjach w obrębie jamy brzusznej (laparotomia i laparoskopia).- mgr Katarzyna Wilczyńska</w:t>
            </w:r>
          </w:p>
        </w:tc>
        <w:tc>
          <w:tcPr>
            <w:tcW w:w="255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tabs>
                <w:tab w:val="clear" w:pos="253"/>
                <w:tab w:val="left" w:pos="7410" w:leader="none"/>
              </w:tabs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>
                <w:color w:val="auto"/>
              </w:rPr>
              <w:t xml:space="preserve">U1, U47,  </w:t>
            </w:r>
            <w:r>
              <w:rPr/>
              <w:t>K1, K2, K3, K4, K5, K6, K7, K8, K9</w:t>
            </w:r>
          </w:p>
        </w:tc>
      </w:tr>
      <w:tr>
        <w:trPr>
          <w:trHeight w:val="265" w:hRule="atLeast"/>
        </w:trPr>
        <w:tc>
          <w:tcPr>
            <w:tcW w:w="224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5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S4</w:t>
            </w:r>
          </w:p>
        </w:tc>
        <w:tc>
          <w:tcPr>
            <w:tcW w:w="538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Domynie"/>
              <w:spacing w:lineRule="atLeast" w:line="200" w:before="0" w:after="0"/>
              <w:ind w:left="0" w:hanging="0"/>
              <w:contextualSpacing/>
              <w:rPr/>
            </w:pPr>
            <w:r>
              <w:rPr>
                <w:rFonts w:ascii="Calibri" w:hAnsi="Calibri" w:asciiTheme="minorHAnsi" w:hAnsiTheme="minorHAnsi"/>
                <w:color w:val="000000"/>
                <w:sz w:val="20"/>
              </w:rPr>
              <w:t>Problemy internistyczne okresu około operacyjnego. Dr Rusinowicz</w:t>
            </w:r>
          </w:p>
        </w:tc>
        <w:tc>
          <w:tcPr>
            <w:tcW w:w="255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ind w:left="0" w:hanging="0"/>
              <w:contextualSpacing/>
              <w:rPr/>
            </w:pPr>
            <w:r>
              <w:rPr>
                <w:color w:val="auto"/>
              </w:rPr>
              <w:t>U1, U5, U38</w:t>
            </w:r>
          </w:p>
          <w:p>
            <w:pPr>
              <w:pStyle w:val="Normal"/>
              <w:tabs>
                <w:tab w:val="clear" w:pos="253"/>
                <w:tab w:val="left" w:pos="7410" w:leader="none"/>
              </w:tabs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K1, K2, K3, K4, K5, K6, K7, K8, K9</w:t>
            </w:r>
          </w:p>
        </w:tc>
      </w:tr>
      <w:tr>
        <w:trPr>
          <w:trHeight w:val="265" w:hRule="atLeast"/>
        </w:trPr>
        <w:tc>
          <w:tcPr>
            <w:tcW w:w="2246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5" w:hanging="0"/>
              <w:jc w:val="center"/>
              <w:rPr>
                <w:color w:val="auto"/>
              </w:rPr>
            </w:pPr>
            <w:r>
              <w:rPr>
                <w:color w:val="auto"/>
              </w:rPr>
              <w:t>S5</w:t>
            </w:r>
          </w:p>
        </w:tc>
        <w:tc>
          <w:tcPr>
            <w:tcW w:w="538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bidi w:val="0"/>
              <w:spacing w:lineRule="auto" w:line="264" w:before="0" w:after="6"/>
              <w:ind w:left="10" w:hanging="10"/>
              <w:contextualSpacing/>
              <w:jc w:val="left"/>
              <w:rPr/>
            </w:pPr>
            <w:r>
              <w:rPr/>
              <w:t>Zasady leczenia endoskopowego- lek med Magdalena Czerwińska</w:t>
            </w:r>
          </w:p>
        </w:tc>
        <w:tc>
          <w:tcPr>
            <w:tcW w:w="2557" w:type="dxa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ind w:left="0" w:hanging="0"/>
              <w:contextualSpacing/>
              <w:rPr/>
            </w:pPr>
            <w:r>
              <w:rPr/>
              <w:t>U38, K5,</w:t>
            </w:r>
          </w:p>
        </w:tc>
      </w:tr>
    </w:tbl>
    <w:p>
      <w:pPr>
        <w:pStyle w:val="Nagwek1"/>
        <w:spacing w:before="0" w:after="0"/>
        <w:ind w:left="0" w:hanging="0"/>
        <w:jc w:val="left"/>
        <w:rPr>
          <w:color w:val="auto"/>
        </w:rPr>
      </w:pPr>
      <w:r>
        <w:rPr>
          <w:color w:val="auto"/>
        </w:rPr>
      </w:r>
    </w:p>
    <w:tbl>
      <w:tblPr>
        <w:tblStyle w:val="TableGrid"/>
        <w:tblW w:w="10190" w:type="dxa"/>
        <w:jc w:val="left"/>
        <w:tblInd w:w="8" w:type="dxa"/>
        <w:tblCellMar>
          <w:top w:w="116" w:type="dxa"/>
          <w:left w:w="83" w:type="dxa"/>
          <w:bottom w:w="0" w:type="dxa"/>
          <w:right w:w="87" w:type="dxa"/>
        </w:tblCellMar>
        <w:tblLook w:firstRow="1" w:noVBand="1" w:lastRow="0" w:firstColumn="1" w:lastColumn="0" w:noHBand="0" w:val="04a0"/>
      </w:tblPr>
      <w:tblGrid>
        <w:gridCol w:w="10190"/>
      </w:tblGrid>
      <w:tr>
        <w:trPr>
          <w:trHeight w:val="265" w:hRule="atLeast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0"/>
              <w:ind w:left="720" w:right="235" w:hanging="360"/>
              <w:contextualSpacing/>
              <w:rPr>
                <w:b/>
                <w:b/>
                <w:smallCaps/>
                <w:color w:val="auto"/>
              </w:rPr>
            </w:pPr>
            <w:r>
              <w:rPr>
                <w:b/>
                <w:smallCaps/>
                <w:color w:val="auto"/>
                <w:sz w:val="24"/>
              </w:rPr>
              <w:t>Literatura</w:t>
            </w:r>
          </w:p>
        </w:tc>
      </w:tr>
      <w:tr>
        <w:trPr>
          <w:trHeight w:val="265" w:hRule="atLeast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Normal"/>
              <w:spacing w:lineRule="auto" w:line="259" w:before="0" w:after="0"/>
              <w:ind w:left="0" w:right="235" w:hanging="0"/>
              <w:rPr>
                <w:b/>
                <w:b/>
                <w:color w:val="auto"/>
              </w:rPr>
            </w:pPr>
            <w:r>
              <w:rPr>
                <w:b/>
                <w:color w:val="auto"/>
              </w:rPr>
              <w:t>Obowiązkowa</w:t>
            </w:r>
            <w:bookmarkStart w:id="0" w:name="_Hlk33528811"/>
            <w:bookmarkEnd w:id="0"/>
          </w:p>
        </w:tc>
      </w:tr>
      <w:tr>
        <w:trPr>
          <w:trHeight w:val="265" w:hRule="atLeast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253"/>
                <w:tab w:val="left" w:pos="720" w:leader="none"/>
              </w:tabs>
              <w:spacing w:lineRule="auto" w:line="240" w:before="0" w:after="0"/>
              <w:contextualSpacing/>
              <w:jc w:val="both"/>
              <w:rPr/>
            </w:pPr>
            <w:r>
              <w:rPr>
                <w:rFonts w:asciiTheme="minorHAnsi" w:hAnsiTheme="minorHAnsi"/>
                <w:sz w:val="20"/>
              </w:rPr>
              <w:t xml:space="preserve">Fizjoterapia w chirurgii'' Marek Woźniewski, Jerzy Kołodziej </w:t>
            </w:r>
          </w:p>
          <w:p>
            <w:pPr>
              <w:pStyle w:val="Domynie"/>
              <w:tabs>
                <w:tab w:val="clear" w:pos="253"/>
                <w:tab w:val="left" w:pos="363" w:leader="none"/>
              </w:tabs>
              <w:spacing w:lineRule="auto" w:line="240" w:before="0" w:after="0"/>
              <w:contextualSpacing/>
              <w:jc w:val="both"/>
              <w:rPr/>
            </w:pPr>
            <w:r>
              <w:rPr>
                <w:rFonts w:ascii="Calibri" w:hAnsi="Calibri" w:asciiTheme="minorHAnsi" w:hAnsiTheme="minorHAnsi"/>
              </w:rPr>
              <w:t xml:space="preserve">  </w:t>
            </w:r>
            <w:r>
              <w:rPr>
                <w:rFonts w:ascii="Calibri" w:hAnsi="Calibri" w:asciiTheme="minorHAnsi" w:hAnsiTheme="minorHAnsi"/>
                <w:sz w:val="20"/>
              </w:rPr>
              <w:t>Wydawnictwo Lekarskie PZWL, wydanie drugie- 2020r.</w:t>
            </w:r>
          </w:p>
          <w:p>
            <w:pPr>
              <w:pStyle w:val="Domynie"/>
              <w:numPr>
                <w:ilvl w:val="0"/>
                <w:numId w:val="2"/>
              </w:numPr>
              <w:tabs>
                <w:tab w:val="clear" w:pos="253"/>
                <w:tab w:val="left" w:pos="720" w:leader="none"/>
              </w:tabs>
              <w:spacing w:lineRule="auto" w:line="240" w:before="0" w:after="0"/>
              <w:contextualSpacing/>
              <w:jc w:val="both"/>
              <w:rPr/>
            </w:pPr>
            <w:r>
              <w:rPr>
                <w:rFonts w:ascii="Calibri" w:hAnsi="Calibri" w:asciiTheme="minorHAnsi" w:hAnsiTheme="minorHAnsi"/>
                <w:sz w:val="20"/>
              </w:rPr>
              <w:t xml:space="preserve">,,Rehabilitacja Medyczna'' Pod red. Andrzeja Kwolka </w:t>
            </w:r>
          </w:p>
          <w:p>
            <w:pPr>
              <w:pStyle w:val="Normal"/>
              <w:spacing w:lineRule="auto" w:line="259" w:before="0" w:after="0"/>
              <w:ind w:left="0" w:right="4074" w:hanging="0"/>
              <w:contextualSpacing/>
              <w:rPr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  </w:t>
            </w:r>
            <w:r>
              <w:rPr>
                <w:rFonts w:asciiTheme="minorHAnsi" w:hAnsiTheme="minorHAnsi"/>
                <w:color w:val="auto"/>
                <w:sz w:val="20"/>
              </w:rPr>
              <w:t>Wydawnictwo: URBAN &amp; PARTNER 2012r.</w:t>
            </w:r>
          </w:p>
        </w:tc>
      </w:tr>
      <w:tr>
        <w:trPr>
          <w:trHeight w:val="265" w:hRule="atLeast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59" w:before="0" w:after="0"/>
              <w:ind w:left="0" w:right="7996" w:hanging="0"/>
              <w:rPr>
                <w:b/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Uzupełniająca</w:t>
            </w:r>
          </w:p>
        </w:tc>
      </w:tr>
      <w:tr>
        <w:trPr>
          <w:trHeight w:val="265" w:hRule="atLeast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tabs>
                <w:tab w:val="clear" w:pos="253"/>
                <w:tab w:val="left" w:pos="1080" w:leader="none"/>
              </w:tabs>
              <w:suppressAutoHyphens w:val="true"/>
              <w:spacing w:lineRule="auto" w:line="240" w:before="0" w:after="0"/>
              <w:ind w:left="360" w:right="0" w:hanging="10"/>
              <w:rPr/>
            </w:pPr>
            <w:r>
              <w:rPr/>
              <w:t xml:space="preserve"> „</w:t>
            </w:r>
            <w:r>
              <w:rPr/>
              <w:t xml:space="preserve">Powikłania w chirurgii jamy brzusznej” Jan Kulig, Wojciech Nowak  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/>
              <w:t xml:space="preserve">    </w:t>
            </w:r>
            <w:r>
              <w:rPr/>
              <w:t>Wydawnictwo lekarskie PZWL 2012r.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/>
              <w:t xml:space="preserve">      </w:t>
            </w:r>
            <w:r>
              <w:rPr/>
              <w:t>2.    „Ogólne powikłania pooperacyjne” Ewa Karpel, Przemysław Jałowiecki,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/>
              <w:t>Wydawnictwo lekarskie PZWL 2009r.</w:t>
            </w:r>
          </w:p>
          <w:p>
            <w:pPr>
              <w:pStyle w:val="Normal"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left="720" w:right="0" w:hanging="360"/>
              <w:rPr/>
            </w:pPr>
            <w:r>
              <w:rPr/>
              <w:t>„</w:t>
            </w:r>
            <w:r>
              <w:rPr/>
              <w:t xml:space="preserve">Zakrzepica żył głębokich i zakrzepowe zapalenie żył powierzchownych” Maciej Szczepański, 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720" w:right="0" w:hanging="0"/>
              <w:rPr/>
            </w:pPr>
            <w:r>
              <w:rPr/>
              <w:t>Wydawnictwo lekarskie PZWL 2012r.</w:t>
            </w:r>
          </w:p>
          <w:p>
            <w:pPr>
              <w:pStyle w:val="Normal"/>
              <w:numPr>
                <w:ilvl w:val="0"/>
                <w:numId w:val="5"/>
              </w:numPr>
              <w:suppressAutoHyphens w:val="true"/>
              <w:spacing w:lineRule="auto" w:line="240" w:before="0" w:after="0"/>
              <w:ind w:left="720" w:right="0" w:hanging="360"/>
              <w:rPr/>
            </w:pPr>
            <w:r>
              <w:rPr/>
              <w:t>„</w:t>
            </w:r>
            <w:r>
              <w:rPr/>
              <w:t>Chirurgia tętnic i żył obwodowych (tom1-2)”, Wojciech Noszczyk</w:t>
            </w:r>
          </w:p>
          <w:p>
            <w:pPr>
              <w:pStyle w:val="Normal"/>
              <w:tabs>
                <w:tab w:val="clear" w:pos="253"/>
                <w:tab w:val="left" w:pos="1080" w:leader="none"/>
              </w:tabs>
              <w:suppressAutoHyphens w:val="true"/>
              <w:spacing w:lineRule="auto" w:line="240" w:before="0" w:after="0"/>
              <w:ind w:left="360" w:right="0" w:firstLine="348"/>
              <w:rPr/>
            </w:pPr>
            <w:r>
              <w:rPr/>
              <w:t xml:space="preserve">  </w:t>
            </w:r>
            <w:r>
              <w:rPr/>
              <w:t>Wydawnictwo lekarskie PZWL 2012r.</w:t>
            </w:r>
          </w:p>
          <w:p>
            <w:pPr>
              <w:pStyle w:val="Normal"/>
              <w:numPr>
                <w:ilvl w:val="0"/>
                <w:numId w:val="6"/>
              </w:numPr>
              <w:tabs>
                <w:tab w:val="clear" w:pos="253"/>
                <w:tab w:val="left" w:pos="1080" w:leader="none"/>
              </w:tabs>
              <w:suppressAutoHyphens w:val="true"/>
              <w:spacing w:lineRule="auto" w:line="240" w:before="0" w:after="0"/>
              <w:ind w:left="720" w:right="0" w:hanging="360"/>
              <w:rPr/>
            </w:pPr>
            <w:r>
              <w:rPr/>
              <w:t>„</w:t>
            </w:r>
            <w:r>
              <w:rPr/>
              <w:t>Rehabilitacja w chorobach naczyń obwodowych”</w:t>
            </w:r>
          </w:p>
          <w:p>
            <w:pPr>
              <w:pStyle w:val="Normal"/>
              <w:tabs>
                <w:tab w:val="clear" w:pos="253"/>
                <w:tab w:val="left" w:pos="1080" w:leader="none"/>
              </w:tabs>
              <w:suppressAutoHyphens w:val="true"/>
              <w:spacing w:lineRule="auto" w:line="240" w:before="0" w:after="0"/>
              <w:ind w:left="360" w:right="0" w:hanging="10"/>
              <w:rPr/>
            </w:pPr>
            <w:r>
              <w:rPr/>
              <w:t xml:space="preserve">         </w:t>
            </w:r>
            <w:r>
              <w:rPr/>
              <w:t>Żanna Fiodorenko-Dumas, Artur Pupka</w:t>
            </w:r>
          </w:p>
          <w:p>
            <w:pPr>
              <w:pStyle w:val="Normal"/>
              <w:tabs>
                <w:tab w:val="clear" w:pos="253"/>
                <w:tab w:val="left" w:pos="1080" w:leader="none"/>
              </w:tabs>
              <w:suppressAutoHyphens w:val="true"/>
              <w:spacing w:lineRule="auto" w:line="240" w:before="0" w:after="0"/>
              <w:ind w:left="360" w:right="0" w:hanging="10"/>
              <w:rPr/>
            </w:pPr>
            <w:r>
              <w:rPr/>
              <w:t xml:space="preserve">         </w:t>
            </w:r>
            <w:r>
              <w:rPr/>
              <w:t>Wydawnictwo MedPharm Polska 2012r.</w:t>
            </w:r>
          </w:p>
          <w:p>
            <w:pPr>
              <w:pStyle w:val="Normal"/>
              <w:numPr>
                <w:ilvl w:val="0"/>
                <w:numId w:val="7"/>
              </w:numPr>
              <w:tabs>
                <w:tab w:val="clear" w:pos="253"/>
                <w:tab w:val="left" w:pos="1080" w:leader="none"/>
              </w:tabs>
              <w:suppressAutoHyphens w:val="true"/>
              <w:spacing w:lineRule="auto" w:line="240" w:before="0" w:after="0"/>
              <w:ind w:left="720" w:right="0" w:hanging="360"/>
              <w:rPr/>
            </w:pPr>
            <w:r>
              <w:rPr/>
              <w:t>„</w:t>
            </w:r>
            <w:r>
              <w:rPr/>
              <w:t>Dietoterapia''  Sa'eed Bawa, Danuta Gajewska, Lucyna Kozłowska Ewa Lange, Joanna Myszkowska-Ryciak, Dariusz Włodarek, Wydawnictwo SGGW warszawa 2009r.</w:t>
            </w:r>
          </w:p>
          <w:p>
            <w:pPr>
              <w:pStyle w:val="Normal"/>
              <w:numPr>
                <w:ilvl w:val="0"/>
                <w:numId w:val="7"/>
              </w:numPr>
              <w:tabs>
                <w:tab w:val="clear" w:pos="253"/>
                <w:tab w:val="left" w:pos="1080" w:leader="none"/>
              </w:tabs>
              <w:suppressAutoHyphens w:val="true"/>
              <w:spacing w:lineRule="auto" w:line="240" w:before="0" w:after="0"/>
              <w:ind w:left="720" w:right="0" w:hanging="360"/>
              <w:rPr/>
            </w:pPr>
            <w:r>
              <w:rPr/>
              <w:t>„</w:t>
            </w:r>
            <w:r>
              <w:rPr/>
              <w:t xml:space="preserve">Dietetyka”Dariusz Włodarek  </w:t>
            </w:r>
          </w:p>
          <w:p>
            <w:pPr>
              <w:pStyle w:val="Normal"/>
              <w:tabs>
                <w:tab w:val="clear" w:pos="253"/>
                <w:tab w:val="left" w:pos="1080" w:leader="none"/>
              </w:tabs>
              <w:suppressAutoHyphens w:val="true"/>
              <w:spacing w:lineRule="auto" w:line="240" w:before="0" w:after="0"/>
              <w:ind w:left="720" w:right="0" w:hanging="0"/>
              <w:rPr/>
            </w:pPr>
            <w:r>
              <w:rPr/>
              <w:t>Wydawnictwo Format-AB Warszawa 2005r.,</w:t>
            </w:r>
          </w:p>
          <w:p>
            <w:pPr>
              <w:pStyle w:val="Normal"/>
              <w:tabs>
                <w:tab w:val="clear" w:pos="253"/>
                <w:tab w:val="left" w:pos="1080" w:leader="none"/>
              </w:tabs>
              <w:suppressAutoHyphens w:val="true"/>
              <w:spacing w:lineRule="auto" w:line="240" w:before="0" w:after="0"/>
              <w:ind w:left="360" w:right="0" w:hanging="10"/>
              <w:rPr/>
            </w:pPr>
            <w:r>
              <w:rPr/>
            </w:r>
          </w:p>
          <w:p>
            <w:pPr>
              <w:pStyle w:val="Normal"/>
              <w:numPr>
                <w:ilvl w:val="0"/>
                <w:numId w:val="8"/>
              </w:numPr>
              <w:tabs>
                <w:tab w:val="clear" w:pos="253"/>
                <w:tab w:val="left" w:pos="1080" w:leader="none"/>
              </w:tabs>
              <w:suppressAutoHyphens w:val="true"/>
              <w:spacing w:lineRule="auto" w:line="240" w:before="0" w:after="0"/>
              <w:ind w:left="720" w:right="0" w:hanging="360"/>
              <w:rPr/>
            </w:pPr>
            <w:r>
              <w:rPr/>
              <w:t>„</w:t>
            </w:r>
            <w:r>
              <w:rPr/>
              <w:t xml:space="preserve">Żywienie chorych ze stomią” prof. dr hab. n. med. Mirosław Jarosz, </w:t>
            </w:r>
          </w:p>
          <w:p>
            <w:pPr>
              <w:pStyle w:val="Normal"/>
              <w:tabs>
                <w:tab w:val="clear" w:pos="253"/>
                <w:tab w:val="left" w:pos="1080" w:leader="none"/>
              </w:tabs>
              <w:suppressAutoHyphens w:val="true"/>
              <w:spacing w:lineRule="auto" w:line="240" w:before="0" w:after="0"/>
              <w:ind w:left="720" w:right="0" w:hanging="0"/>
              <w:rPr/>
            </w:pPr>
            <w:r>
              <w:rPr/>
              <w:t>Wydawnictwo Lekarskie PZWL Warszawa 2007r.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val="clear" w:pos="253"/>
                <w:tab w:val="left" w:pos="720" w:leader="none"/>
              </w:tabs>
              <w:suppressAutoHyphens w:val="true"/>
              <w:spacing w:lineRule="auto" w:line="240" w:before="0" w:after="0"/>
              <w:contextualSpacing/>
              <w:rPr/>
            </w:pPr>
            <w:r>
              <w:rPr/>
              <w:t>„</w:t>
            </w:r>
            <w:r>
              <w:rPr/>
              <w:t xml:space="preserve">Choroby Trzustki” prof. dr hab. n. med. Mirosław Jarosz, prof. dr hab. n. med. Jan Dzieniszewski  </w:t>
            </w:r>
          </w:p>
          <w:p>
            <w:pPr>
              <w:pStyle w:val="ListParagraph"/>
              <w:tabs>
                <w:tab w:val="clear" w:pos="253"/>
                <w:tab w:val="left" w:pos="720" w:leader="none"/>
              </w:tabs>
              <w:suppressAutoHyphens w:val="true"/>
              <w:spacing w:lineRule="auto" w:line="240" w:before="0" w:after="0"/>
              <w:ind w:left="720" w:right="0" w:hanging="0"/>
              <w:contextualSpacing/>
              <w:rPr/>
            </w:pPr>
            <w:r>
              <w:rPr/>
              <w:t>Wydawnictwo Lekarskie PZWL Warszawa 20079r..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253"/>
                <w:tab w:val="left" w:pos="363" w:leader="none"/>
              </w:tabs>
              <w:spacing w:lineRule="auto" w:line="276" w:before="0" w:after="0"/>
              <w:jc w:val="both"/>
              <w:rPr/>
            </w:pPr>
            <w:r>
              <w:rPr>
                <w:sz w:val="20"/>
              </w:rPr>
              <w:t>Otyłość i jej powikłania „ Lucyna Ostrowska, Artur Mamcarz, Paweł Bogdański</w:t>
            </w:r>
          </w:p>
          <w:p>
            <w:pPr>
              <w:pStyle w:val="Domynie"/>
              <w:tabs>
                <w:tab w:val="clear" w:pos="253"/>
                <w:tab w:val="left" w:pos="363" w:leader="none"/>
              </w:tabs>
              <w:suppressAutoHyphens w:val="true"/>
              <w:spacing w:lineRule="auto" w:line="276" w:before="0" w:after="0"/>
              <w:ind w:left="720" w:right="0" w:hanging="10"/>
              <w:contextualSpacing/>
              <w:jc w:val="both"/>
              <w:rPr/>
            </w:pPr>
            <w:r>
              <w:rPr>
                <w:rFonts w:ascii="Calibri" w:hAnsi="Calibri"/>
                <w:sz w:val="20"/>
              </w:rPr>
              <w:t>Wydawnictwo Lekarskie PZWL Warszawa 2021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b/>
                <w:i/>
              </w:rPr>
              <w:t>Czasopisma</w:t>
            </w:r>
            <w:r>
              <w:rPr/>
              <w:t>: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/>
              <w:t xml:space="preserve">       </w:t>
            </w:r>
            <w:r>
              <w:rPr/>
              <w:t>1.  „Pielęgniarstwo  Chirurgiczne i Angiologiczne”. Wydawnictwo Termedia.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b/>
                <w:i/>
              </w:rPr>
              <w:t>Piśmiennictwo:</w:t>
            </w:r>
          </w:p>
          <w:p>
            <w:pPr>
              <w:pStyle w:val="Normal"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left="720" w:right="0" w:hanging="360"/>
              <w:rPr/>
            </w:pPr>
            <w:r>
              <w:rPr/>
              <w:t>,,Rehabilitacja pacjentów ze stomią jelitową'' Anna Ławnik</w:t>
            </w:r>
          </w:p>
          <w:p>
            <w:pPr>
              <w:pStyle w:val="Normal"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left="720" w:right="0" w:hanging="360"/>
              <w:rPr>
                <w:color w:val="auto"/>
              </w:rPr>
            </w:pPr>
            <w:r>
              <w:rPr>
                <w:color w:val="auto"/>
              </w:rPr>
              <w:t>,,Stomia jelitowa - podział i powikłania'' Wojciech Szczęsny i wsp.</w:t>
            </w:r>
          </w:p>
        </w:tc>
      </w:tr>
    </w:tbl>
    <w:p>
      <w:pPr>
        <w:pStyle w:val="Normal"/>
        <w:ind w:left="0" w:hanging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tbl>
      <w:tblPr>
        <w:tblStyle w:val="TableGrid"/>
        <w:tblW w:w="10190" w:type="dxa"/>
        <w:jc w:val="left"/>
        <w:tblInd w:w="8" w:type="dxa"/>
        <w:tblCellMar>
          <w:top w:w="116" w:type="dxa"/>
          <w:left w:w="83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1827"/>
        <w:gridCol w:w="5808"/>
        <w:gridCol w:w="2555"/>
      </w:tblGrid>
      <w:tr>
        <w:trPr>
          <w:trHeight w:val="385" w:hRule="atLeast"/>
        </w:trPr>
        <w:tc>
          <w:tcPr>
            <w:tcW w:w="10190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agwek1"/>
              <w:numPr>
                <w:ilvl w:val="0"/>
                <w:numId w:val="1"/>
              </w:numPr>
              <w:spacing w:lineRule="auto" w:line="240" w:before="0" w:after="241"/>
              <w:jc w:val="left"/>
              <w:rPr>
                <w:smallCaps/>
                <w:color w:val="auto"/>
              </w:rPr>
            </w:pPr>
            <w:r>
              <w:rPr>
                <w:smallCaps/>
                <w:color w:val="auto"/>
              </w:rPr>
              <w:t>Sposoby weryfikacji efektów uczenia się</w:t>
            </w:r>
          </w:p>
        </w:tc>
      </w:tr>
      <w:tr>
        <w:trPr>
          <w:trHeight w:val="597" w:hRule="atLeast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Symbol przedmiotowego efektu uczenia się</w:t>
            </w:r>
          </w:p>
        </w:tc>
        <w:tc>
          <w:tcPr>
            <w:tcW w:w="580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33" w:hanging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Sposoby weryfikacji efektu uczenia się</w:t>
            </w:r>
          </w:p>
        </w:tc>
        <w:tc>
          <w:tcPr>
            <w:tcW w:w="25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Kryterium zaliczenia</w:t>
            </w:r>
          </w:p>
        </w:tc>
      </w:tr>
      <w:tr>
        <w:trPr>
          <w:trHeight w:val="381" w:hRule="atLeast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sz w:val="20"/>
                <w:szCs w:val="20"/>
              </w:rPr>
            </w:pPr>
            <w:r>
              <w:rPr>
                <w:i/>
                <w:iCs/>
                <w:color w:val="auto"/>
                <w:sz w:val="20"/>
                <w:szCs w:val="20"/>
              </w:rPr>
              <w:t xml:space="preserve">W1, W3-4,W5, W6 ,W10, W12, W13, </w:t>
            </w:r>
          </w:p>
        </w:tc>
        <w:tc>
          <w:tcPr>
            <w:tcW w:w="580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sz w:val="20"/>
                <w:szCs w:val="20"/>
              </w:rPr>
            </w:pPr>
            <w:r>
              <w:rPr>
                <w:i/>
                <w:iCs/>
                <w:color w:val="auto"/>
                <w:sz w:val="20"/>
                <w:szCs w:val="20"/>
              </w:rPr>
              <w:t>Zaliczenie na koniec zajęć</w:t>
            </w:r>
          </w:p>
        </w:tc>
        <w:tc>
          <w:tcPr>
            <w:tcW w:w="25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sz w:val="20"/>
                <w:szCs w:val="20"/>
              </w:rPr>
            </w:pPr>
            <w:r>
              <w:rPr>
                <w:rFonts w:cs="Arial"/>
                <w:bCs/>
                <w:i/>
                <w:iCs/>
                <w:color w:val="auto"/>
                <w:sz w:val="20"/>
                <w:szCs w:val="20"/>
              </w:rPr>
              <w:t>Obecność na 2 wykładach. Obecność na wszystkich ćwiczeniach. Akceptowalne przyswojenie wiedzy.</w:t>
            </w:r>
          </w:p>
        </w:tc>
      </w:tr>
      <w:tr>
        <w:trPr>
          <w:trHeight w:val="381" w:hRule="atLeast"/>
        </w:trPr>
        <w:tc>
          <w:tcPr>
            <w:tcW w:w="182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color w:val="auto"/>
                <w:szCs w:val="18"/>
              </w:rPr>
              <w:t xml:space="preserve">U5, U37-38, U47, </w:t>
            </w:r>
            <w:r>
              <w:rPr>
                <w:color w:val="auto"/>
              </w:rPr>
              <w:t>K1, K2, K3, K4, K5, K6, K7, K8, K9</w:t>
            </w:r>
          </w:p>
        </w:tc>
        <w:tc>
          <w:tcPr>
            <w:tcW w:w="580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r>
              <w:rPr>
                <w:color w:val="auto"/>
              </w:rPr>
              <w:t>Zaliczenie na koniec zajęć, odpowiedź ustna z tematów przydzielonych do studentów</w:t>
            </w:r>
          </w:p>
        </w:tc>
        <w:tc>
          <w:tcPr>
            <w:tcW w:w="25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</w:tcPr>
          <w:p>
            <w:pPr>
              <w:pStyle w:val="Normal"/>
              <w:spacing w:lineRule="auto" w:line="240" w:before="0" w:after="0"/>
              <w:contextualSpacing/>
              <w:rPr/>
            </w:pPr>
            <w:r>
              <w:rPr>
                <w:rFonts w:cs="Arial"/>
                <w:bCs/>
                <w:szCs w:val="18"/>
              </w:rPr>
              <w:t>Obecność na wszystkich ćwiczeniach.</w:t>
            </w:r>
          </w:p>
          <w:p>
            <w:pPr>
              <w:pStyle w:val="Normal"/>
              <w:spacing w:lineRule="auto" w:line="259" w:before="0" w:after="0"/>
              <w:ind w:left="0" w:hanging="0"/>
              <w:contextualSpacing/>
              <w:rPr>
                <w:color w:val="auto"/>
              </w:rPr>
            </w:pPr>
            <w:bookmarkStart w:id="1" w:name="__DdeLink__1315_3720839051"/>
            <w:r>
              <w:rPr>
                <w:rFonts w:cs="Arial"/>
                <w:bCs/>
                <w:color w:val="auto"/>
                <w:szCs w:val="18"/>
              </w:rPr>
              <w:t>60% prawidłowych odpowiedzi.</w:t>
            </w:r>
            <w:bookmarkEnd w:id="1"/>
          </w:p>
        </w:tc>
      </w:tr>
    </w:tbl>
    <w:p>
      <w:pPr>
        <w:pStyle w:val="Normal"/>
        <w:spacing w:lineRule="auto" w:line="264" w:before="0" w:after="0"/>
        <w:ind w:left="-6" w:hanging="11"/>
        <w:rPr>
          <w:b/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</w:r>
    </w:p>
    <w:tbl>
      <w:tblPr>
        <w:tblStyle w:val="TableGrid"/>
        <w:tblW w:w="10190" w:type="dxa"/>
        <w:jc w:val="left"/>
        <w:tblInd w:w="8" w:type="dxa"/>
        <w:tblCellMar>
          <w:top w:w="116" w:type="dxa"/>
          <w:left w:w="83" w:type="dxa"/>
          <w:bottom w:w="0" w:type="dxa"/>
          <w:right w:w="87" w:type="dxa"/>
        </w:tblCellMar>
        <w:tblLook w:firstRow="1" w:noVBand="1" w:lastRow="0" w:firstColumn="1" w:lastColumn="0" w:noHBand="0" w:val="04a0"/>
      </w:tblPr>
      <w:tblGrid>
        <w:gridCol w:w="10190"/>
      </w:tblGrid>
      <w:tr>
        <w:trPr>
          <w:trHeight w:val="265" w:hRule="atLeast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fill="auto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i/>
                <w:i/>
                <w:iCs/>
                <w:color w:val="auto"/>
                <w:sz w:val="16"/>
                <w:szCs w:val="16"/>
              </w:rPr>
            </w:pPr>
            <w:r>
              <w:rPr>
                <w:b/>
                <w:smallCaps/>
                <w:color w:val="auto"/>
                <w:sz w:val="24"/>
              </w:rPr>
              <w:t xml:space="preserve">Informacje dodatkowe </w:t>
            </w:r>
          </w:p>
        </w:tc>
      </w:tr>
      <w:tr>
        <w:trPr>
          <w:trHeight w:val="265" w:hRule="atLeast"/>
        </w:trPr>
        <w:tc>
          <w:tcPr>
            <w:tcW w:w="1019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59" w:before="0" w:after="0"/>
              <w:ind w:left="0" w:right="235" w:hanging="0"/>
              <w:rPr>
                <w:b/>
                <w:b/>
                <w:color w:val="auto"/>
              </w:rPr>
            </w:pPr>
            <w:r>
              <w:rPr>
                <w:i/>
                <w:iCs/>
                <w:color w:val="auto"/>
                <w:sz w:val="16"/>
                <w:szCs w:val="16"/>
              </w:rPr>
              <w:t xml:space="preserve">(tu należy zamieścić informacje istotne z punktu widzenia nauczyciela niezawarte w pozostałej części sylabusa, </w:t>
            </w:r>
            <w:r>
              <w:rPr>
                <w:b/>
                <w:bCs/>
                <w:i/>
                <w:iCs/>
                <w:color w:val="auto"/>
                <w:sz w:val="16"/>
                <w:szCs w:val="16"/>
              </w:rPr>
              <w:t>w szczególności w oparciu o regulacje wynikające z § 26 ust. 1 i 2, § 27 ust. 3 oraz § 28 ust. 1 Regulaminu Studiów wskazanie liczby terminów zaliczeń przedmiotu, w tym zaliczeń dopuszczających do egzaminu</w:t>
            </w:r>
            <w:r>
              <w:rPr>
                <w:i/>
                <w:iCs/>
                <w:color w:val="auto"/>
                <w:sz w:val="16"/>
                <w:szCs w:val="16"/>
              </w:rPr>
              <w:t>, oraz np. czy przedmiot jest powiązany z badaniami naukowymi, szczegółowy opis egzaminu, informacje o kole naukowym)</w:t>
            </w:r>
          </w:p>
        </w:tc>
      </w:tr>
    </w:tbl>
    <w:p>
      <w:pPr>
        <w:pStyle w:val="Normal"/>
        <w:spacing w:lineRule="auto" w:line="259" w:before="120" w:after="0"/>
        <w:ind w:left="0" w:hanging="0"/>
        <w:rPr/>
      </w:pPr>
      <w:r>
        <mc:AlternateContent>
          <mc:Choice Requires="wps">
            <w:drawing>
              <wp:anchor behindDoc="0" distT="45720" distB="45720" distL="114300" distR="114300" simplePos="0" locked="0" layoutInCell="1" allowOverlap="1" relativeHeight="2" wp14:anchorId="0946F4D8">
                <wp:simplePos x="0" y="0"/>
                <wp:positionH relativeFrom="column">
                  <wp:posOffset>-92075</wp:posOffset>
                </wp:positionH>
                <wp:positionV relativeFrom="paragraph">
                  <wp:posOffset>2147483647</wp:posOffset>
                </wp:positionV>
                <wp:extent cx="6574790" cy="617220"/>
                <wp:effectExtent l="0" t="0" r="19050" b="24130"/>
                <wp:wrapSquare wrapText="bothSides"/>
                <wp:docPr id="4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4320" cy="61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jc w:val="center"/>
                              <w:rPr>
                                <w:b/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>UWAGA</w:t>
                            </w:r>
                          </w:p>
                          <w:p>
                            <w:pPr>
                              <w:pStyle w:val="Zawartoramki"/>
                              <w:spacing w:before="0" w:after="3"/>
                              <w:jc w:val="center"/>
                              <w:rPr/>
                            </w:pPr>
                            <w:r>
                              <w:rPr>
                                <w:color w:val="auto"/>
                              </w:rPr>
                              <w:t xml:space="preserve">Końcowe 10 minut ostatnich zajęć w bloku/semestrze/roku należy przeznaczyć na wypełnienie przez studentów </w:t>
                              <w:br/>
                              <w:t>Ankiety Oceny Zajęć i Nauczycieli Akademickich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Pole tekstowe 2" fillcolor="white" stroked="t" style="position:absolute;margin-left:-7.25pt;margin-top:198601.7pt;width:517.6pt;height:48.5pt" wp14:anchorId="0946F4D8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Zawartoramki"/>
                        <w:jc w:val="center"/>
                        <w:rPr>
                          <w:b/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auto"/>
                        </w:rPr>
                        <w:t>UWAGA</w:t>
                      </w:r>
                    </w:p>
                    <w:p>
                      <w:pPr>
                        <w:pStyle w:val="Zawartoramki"/>
                        <w:spacing w:before="0" w:after="3"/>
                        <w:jc w:val="center"/>
                        <w:rPr/>
                      </w:pPr>
                      <w:r>
                        <w:rPr>
                          <w:color w:val="auto"/>
                        </w:rPr>
                        <w:t xml:space="preserve">Końcowe 10 minut ostatnich zajęć w bloku/semestrze/roku należy przeznaczyć na wypełnienie przez studentów </w:t>
                        <w:br/>
                        <w:t>Ankiety Oceny Zajęć i Nauczycieli Akademickich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auto"/>
          <w:sz w:val="16"/>
          <w:szCs w:val="16"/>
        </w:rPr>
        <w:t>Prawa majątkowe, w tym autorskie, do sylabusa przysługują WUM. Sylabus może być wykorzystywany dla celów związanych z kształceniem na studiach odbywanych w WUM. Korzystanie z sylabusa w innych celach wymaga zgody WUM.</w:t>
      </w:r>
    </w:p>
    <w:sectPr>
      <w:headerReference w:type="default" r:id="rId3"/>
      <w:footerReference w:type="default" r:id="rId4"/>
      <w:type w:val="nextPage"/>
      <w:pgSz w:w="11906" w:h="16838"/>
      <w:pgMar w:left="851" w:right="851" w:header="709" w:top="1134" w:footer="811" w:bottom="141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59" w:before="0" w:after="0"/>
      <w:ind w:left="0" w:right="-23" w:hanging="0"/>
      <w:jc w:val="right"/>
      <w:rPr/>
    </w:pPr>
    <w:r>
      <mc:AlternateContent>
        <mc:Choice Requires="wpg">
          <w:drawing>
            <wp:anchor behindDoc="1" distT="0" distB="0" distL="114300" distR="114300" simplePos="0" locked="0" layoutInCell="1" allowOverlap="1" relativeHeight="8" wp14:anchorId="1C5520F3">
              <wp:simplePos x="0" y="0"/>
              <wp:positionH relativeFrom="page">
                <wp:posOffset>539750</wp:posOffset>
              </wp:positionH>
              <wp:positionV relativeFrom="page">
                <wp:posOffset>9998710</wp:posOffset>
              </wp:positionV>
              <wp:extent cx="6482715" cy="12065"/>
              <wp:effectExtent l="0" t="0" r="0" b="0"/>
              <wp:wrapSquare wrapText="bothSides"/>
              <wp:docPr id="6" name="Group 36246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2160" cy="1152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6482160" cy="11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480049" h="0">
                              <a:moveTo>
                                <a:pt x="648004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ffffff"/>
                          </a:solidFill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6246" style="position:absolute;margin-left:42.5pt;margin-top:787.3pt;width:510.4pt;height:0.9pt" coordorigin="850,15746" coordsize="10208,18"/>
          </w:pict>
        </mc:Fallback>
      </mc:AlternateContent>
    </w:r>
    <w:r>
      <w:rPr>
        <w:sz w:val="22"/>
      </w:rPr>
      <w:fldChar w:fldCharType="begin"/>
    </w:r>
    <w:r>
      <w:rPr>
        <w:sz w:val="22"/>
      </w:rPr>
      <w:instrText> PAGE </w:instrText>
    </w:r>
    <w:r>
      <w:rPr>
        <w:sz w:val="22"/>
      </w:rPr>
      <w:fldChar w:fldCharType="separate"/>
    </w:r>
    <w:r>
      <w:rPr>
        <w:sz w:val="22"/>
      </w:rPr>
      <w:t>6</w:t>
    </w:r>
    <w:r>
      <w:rPr>
        <w:sz w:val="22"/>
      </w:rPr>
      <w:fldChar w:fldCharType="end"/>
    </w:r>
    <w:r>
      <w:rPr>
        <w:sz w:val="22"/>
      </w:rPr>
      <w:t xml:space="preserve"> </w:t>
    </w:r>
    <w:r>
      <w:rPr>
        <w:sz w:val="22"/>
      </w:rPr>
      <w:t xml:space="preserve">/ </w:t>
    </w:r>
    <w:r>
      <w:rPr>
        <w:sz w:val="22"/>
      </w:rPr>
      <w:fldChar w:fldCharType="begin"/>
    </w:r>
    <w:r>
      <w:rPr>
        <w:sz w:val="22"/>
      </w:rPr>
      <w:instrText> NUMPAGES </w:instrText>
    </w:r>
    <w:r>
      <w:rPr>
        <w:sz w:val="22"/>
      </w:rPr>
      <w:fldChar w:fldCharType="separate"/>
    </w:r>
    <w:r>
      <w:rPr>
        <w:sz w:val="22"/>
      </w:rPr>
      <w:t>6</w:t>
    </w:r>
    <w:r>
      <w:rPr>
        <w:sz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253"/>
        <w:tab w:val="center" w:pos="4536" w:leader="none"/>
        <w:tab w:val="right" w:pos="9072" w:leader="none"/>
      </w:tabs>
      <w:spacing w:lineRule="auto" w:line="360" w:before="120" w:after="120"/>
      <w:ind w:left="0" w:hanging="0"/>
      <w:jc w:val="right"/>
      <w:rPr>
        <w:rFonts w:ascii="Arial" w:hAnsi="Arial" w:eastAsia="Times New Roman" w:cs="Arial"/>
        <w:b/>
        <w:b/>
        <w:bCs/>
        <w:i/>
        <w:i/>
        <w:color w:val="auto"/>
        <w:sz w:val="16"/>
        <w:szCs w:val="20"/>
      </w:rPr>
    </w:pPr>
    <w:bookmarkStart w:id="2" w:name="_Hlk151379110"/>
    <w:bookmarkStart w:id="3" w:name="_Hlk151379111"/>
    <w:r>
      <w:rPr>
        <w:rFonts w:eastAsia="Times New Roman" w:cs="Arial" w:ascii="Arial" w:hAnsi="Arial"/>
        <w:b/>
        <w:bCs/>
        <w:i/>
        <w:color w:val="auto"/>
        <w:sz w:val="16"/>
        <w:szCs w:val="24"/>
      </w:rPr>
      <w:t xml:space="preserve">Załącznik nr 4A do Procedury </w:t>
    </w:r>
    <w:bookmarkEnd w:id="2"/>
    <w:bookmarkEnd w:id="3"/>
    <w:r>
      <w:rPr>
        <w:rFonts w:eastAsia="Times New Roman" w:cs="Arial" w:ascii="Arial" w:hAnsi="Arial"/>
        <w:b/>
        <w:bCs/>
        <w:i/>
        <w:color w:val="auto"/>
        <w:sz w:val="16"/>
        <w:szCs w:val="20"/>
      </w:rPr>
      <w:t xml:space="preserve">opracowywania i okresowego przeglądu programów studiów </w:t>
    </w:r>
  </w:p>
  <w:p>
    <w:pPr>
      <w:pStyle w:val="Normal"/>
      <w:tabs>
        <w:tab w:val="clear" w:pos="253"/>
        <w:tab w:val="center" w:pos="4536" w:leader="none"/>
        <w:tab w:val="right" w:pos="9072" w:leader="none"/>
      </w:tabs>
      <w:spacing w:lineRule="auto" w:line="360" w:before="120" w:after="120"/>
      <w:ind w:left="0" w:hanging="0"/>
      <w:jc w:val="right"/>
      <w:rPr>
        <w:rFonts w:ascii="Arial" w:hAnsi="Arial" w:eastAsia="Times New Roman" w:cs="Arial"/>
        <w:b/>
        <w:b/>
        <w:bCs/>
        <w:i/>
        <w:i/>
        <w:color w:val="auto"/>
        <w:sz w:val="16"/>
        <w:szCs w:val="24"/>
      </w:rPr>
    </w:pPr>
    <w:r>
      <w:rPr>
        <w:rFonts w:eastAsia="Times New Roman" w:cs="Arial" w:ascii="Arial" w:hAnsi="Arial"/>
        <w:b/>
        <w:bCs/>
        <w:i/>
        <w:color w:val="auto"/>
        <w:sz w:val="16"/>
        <w:szCs w:val="20"/>
      </w:rPr>
      <w:t>(stanowiącej załącznik do zarządzenia nr 68/2024 Rektora WUM z dnia 18 kwietnia 2024 r.)</w:t>
      <w:br/>
    </w:r>
  </w:p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16"/>
        <w:i w:val="false"/>
        <w:b/>
        <w:szCs w:val="24"/>
        <w:iCs w:val="false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szCs w:val="24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rFonts w:cs="Symbo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5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rFonts w:cs="Symbo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6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rFonts w:cs="Symbo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7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rFonts w:cs="Symbo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8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rFonts w:cs="Symbo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9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253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55362"/>
    <w:pPr>
      <w:widowControl/>
      <w:bidi w:val="0"/>
      <w:spacing w:lineRule="auto" w:line="264" w:before="0" w:after="3"/>
      <w:ind w:left="10" w:hanging="10"/>
      <w:jc w:val="left"/>
    </w:pPr>
    <w:rPr>
      <w:rFonts w:ascii="Calibri" w:hAnsi="Calibri" w:eastAsia="Calibri" w:cs="Calibri"/>
      <w:color w:val="000000"/>
      <w:kern w:val="0"/>
      <w:sz w:val="18"/>
      <w:szCs w:val="22"/>
      <w:lang w:val="pl-PL" w:eastAsia="pl-PL" w:bidi="ar-SA"/>
    </w:rPr>
  </w:style>
  <w:style w:type="paragraph" w:styleId="Nagwek1">
    <w:name w:val="Heading 1"/>
    <w:next w:val="Normal"/>
    <w:link w:val="Nagwek1Znak"/>
    <w:uiPriority w:val="9"/>
    <w:qFormat/>
    <w:pPr>
      <w:keepNext w:val="true"/>
      <w:keepLines/>
      <w:widowControl/>
      <w:bidi w:val="0"/>
      <w:spacing w:lineRule="auto" w:line="259" w:before="0" w:after="11"/>
      <w:ind w:left="3660" w:hanging="10"/>
      <w:jc w:val="center"/>
      <w:outlineLvl w:val="0"/>
    </w:pPr>
    <w:rPr>
      <w:rFonts w:ascii="Calibri" w:hAnsi="Calibri" w:eastAsia="Calibri" w:cs="Calibri"/>
      <w:b/>
      <w:color w:val="000000"/>
      <w:kern w:val="0"/>
      <w:sz w:val="24"/>
      <w:szCs w:val="22"/>
      <w:lang w:val="pl-PL" w:eastAsia="pl-PL" w:bidi="ar-SA"/>
    </w:rPr>
  </w:style>
  <w:style w:type="paragraph" w:styleId="Nagwek2">
    <w:name w:val="Heading 2"/>
    <w:next w:val="Normal"/>
    <w:link w:val="Nagwek2Znak"/>
    <w:uiPriority w:val="9"/>
    <w:unhideWhenUsed/>
    <w:qFormat/>
    <w:pPr>
      <w:keepNext w:val="true"/>
      <w:keepLines/>
      <w:widowControl/>
      <w:bidi w:val="0"/>
      <w:spacing w:lineRule="auto" w:line="264" w:before="0" w:after="152"/>
      <w:ind w:left="10" w:hanging="10"/>
      <w:jc w:val="left"/>
      <w:outlineLvl w:val="1"/>
    </w:pPr>
    <w:rPr>
      <w:rFonts w:ascii="Calibri" w:hAnsi="Calibri" w:eastAsia="Calibri" w:cs="Calibri"/>
      <w:b/>
      <w:color w:val="000000"/>
      <w:kern w:val="0"/>
      <w:sz w:val="18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link w:val="Nagwek2"/>
    <w:qFormat/>
    <w:rPr>
      <w:rFonts w:ascii="Calibri" w:hAnsi="Calibri" w:eastAsia="Calibri" w:cs="Calibri"/>
      <w:b/>
      <w:color w:val="000000"/>
      <w:sz w:val="18"/>
    </w:rPr>
  </w:style>
  <w:style w:type="character" w:styleId="Nagwek1Znak" w:customStyle="1">
    <w:name w:val="Nagłówek 1 Znak"/>
    <w:link w:val="Nagwek1"/>
    <w:qFormat/>
    <w:rPr>
      <w:rFonts w:ascii="Calibri" w:hAnsi="Calibri" w:eastAsia="Calibri" w:cs="Calibri"/>
      <w:b/>
      <w:color w:val="000000"/>
      <w:sz w:val="24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24d59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c24d59"/>
    <w:rPr>
      <w:rFonts w:ascii="Calibri" w:hAnsi="Calibri" w:eastAsia="Calibri" w:cs="Calibri"/>
      <w:color w:val="000000"/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c24d59"/>
    <w:rPr>
      <w:rFonts w:ascii="Calibri" w:hAnsi="Calibri" w:eastAsia="Calibri" w:cs="Calibri"/>
      <w:b/>
      <w:bCs/>
      <w:color w:val="000000"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c24d59"/>
    <w:rPr>
      <w:rFonts w:ascii="Segoe UI" w:hAnsi="Segoe UI" w:eastAsia="Calibri" w:cs="Segoe UI"/>
      <w:color w:val="000000"/>
      <w:sz w:val="18"/>
      <w:szCs w:val="18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9e635f"/>
    <w:rPr>
      <w:rFonts w:ascii="Calibri" w:hAnsi="Calibri" w:eastAsia="Calibri" w:cs="Calibri"/>
      <w:color w:val="000000"/>
      <w:sz w:val="18"/>
    </w:rPr>
  </w:style>
  <w:style w:type="character" w:styleId="ListLabel1">
    <w:name w:val="ListLabel 1"/>
    <w:qFormat/>
    <w:rPr>
      <w:b/>
      <w:bCs w:val="false"/>
      <w:i w:val="false"/>
      <w:iCs w:val="false"/>
      <w:sz w:val="16"/>
      <w:szCs w:val="24"/>
    </w:rPr>
  </w:style>
  <w:style w:type="character" w:styleId="ListLabel2">
    <w:name w:val="ListLabel 2"/>
    <w:qFormat/>
    <w:rPr>
      <w:b/>
      <w:bCs w:val="false"/>
      <w:sz w:val="24"/>
      <w:szCs w:val="24"/>
    </w:rPr>
  </w:style>
  <w:style w:type="character" w:styleId="ListLabel3">
    <w:name w:val="ListLabel 3"/>
    <w:qFormat/>
    <w:rPr>
      <w:b/>
      <w:bCs w:val="false"/>
      <w:sz w:val="24"/>
      <w:szCs w:val="24"/>
    </w:rPr>
  </w:style>
  <w:style w:type="character" w:styleId="ListLabel255">
    <w:name w:val="ListLabel 255"/>
    <w:qFormat/>
    <w:rPr>
      <w:rFonts w:cs="Symbol"/>
    </w:rPr>
  </w:style>
  <w:style w:type="character" w:styleId="ListLabel233">
    <w:name w:val="ListLabel 233"/>
    <w:qFormat/>
    <w:rPr>
      <w:rFonts w:cs="Symbol"/>
    </w:rPr>
  </w:style>
  <w:style w:type="character" w:styleId="ListLabel234">
    <w:name w:val="ListLabel 234"/>
    <w:qFormat/>
    <w:rPr>
      <w:rFonts w:cs="Symbol"/>
    </w:rPr>
  </w:style>
  <w:style w:type="character" w:styleId="ListLabel235">
    <w:name w:val="ListLabel 235"/>
    <w:qFormat/>
    <w:rPr>
      <w:rFonts w:cs="Symbol"/>
    </w:rPr>
  </w:style>
  <w:style w:type="character" w:styleId="ListLabel236">
    <w:name w:val="ListLabel 236"/>
    <w:qFormat/>
    <w:rPr>
      <w:rFonts w:cs="Symbol"/>
    </w:rPr>
  </w:style>
  <w:style w:type="character" w:styleId="ListLabel237">
    <w:name w:val="ListLabel 237"/>
    <w:qFormat/>
    <w:rPr>
      <w:rFonts w:cs="Symbol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Courier New"/>
    </w:rPr>
  </w:style>
  <w:style w:type="character" w:styleId="ListLabel242">
    <w:name w:val="ListLabel 242"/>
    <w:qFormat/>
    <w:rPr>
      <w:rFonts w:cs="Wingdings"/>
    </w:rPr>
  </w:style>
  <w:style w:type="character" w:styleId="ListLabel243">
    <w:name w:val="ListLabel 243"/>
    <w:qFormat/>
    <w:rPr>
      <w:rFonts w:cs="Symbol"/>
    </w:rPr>
  </w:style>
  <w:style w:type="character" w:styleId="ListLabel244">
    <w:name w:val="ListLabel 244"/>
    <w:qFormat/>
    <w:rPr>
      <w:rFonts w:cs="Courier New"/>
    </w:rPr>
  </w:style>
  <w:style w:type="character" w:styleId="ListLabel245">
    <w:name w:val="ListLabel 245"/>
    <w:qFormat/>
    <w:rPr>
      <w:rFonts w:cs="Wingdings"/>
    </w:rPr>
  </w:style>
  <w:style w:type="character" w:styleId="ListLabel246">
    <w:name w:val="ListLabel 246"/>
    <w:qFormat/>
    <w:rPr>
      <w:rFonts w:ascii="Calibri" w:hAnsi="Calibri" w:cs="OpenSymbol"/>
      <w:sz w:val="20"/>
    </w:rPr>
  </w:style>
  <w:style w:type="character" w:styleId="ListLabel247">
    <w:name w:val="ListLabel 247"/>
    <w:qFormat/>
    <w:rPr>
      <w:rFonts w:cs="OpenSymbol"/>
    </w:rPr>
  </w:style>
  <w:style w:type="character" w:styleId="ListLabel248">
    <w:name w:val="ListLabel 248"/>
    <w:qFormat/>
    <w:rPr>
      <w:rFonts w:cs="OpenSymbol"/>
    </w:rPr>
  </w:style>
  <w:style w:type="character" w:styleId="ListLabel249">
    <w:name w:val="ListLabel 249"/>
    <w:qFormat/>
    <w:rPr>
      <w:rFonts w:cs="OpenSymbol"/>
    </w:rPr>
  </w:style>
  <w:style w:type="character" w:styleId="ListLabel250">
    <w:name w:val="ListLabel 250"/>
    <w:qFormat/>
    <w:rPr>
      <w:rFonts w:cs="OpenSymbol"/>
    </w:rPr>
  </w:style>
  <w:style w:type="character" w:styleId="ListLabel251">
    <w:name w:val="ListLabel 251"/>
    <w:qFormat/>
    <w:rPr>
      <w:rFonts w:cs="OpenSymbol"/>
    </w:rPr>
  </w:style>
  <w:style w:type="character" w:styleId="ListLabel252">
    <w:name w:val="ListLabel 252"/>
    <w:qFormat/>
    <w:rPr>
      <w:rFonts w:cs="OpenSymbol"/>
    </w:rPr>
  </w:style>
  <w:style w:type="character" w:styleId="ListLabel253">
    <w:name w:val="ListLabel 253"/>
    <w:qFormat/>
    <w:rPr>
      <w:rFonts w:cs="OpenSymbol"/>
    </w:rPr>
  </w:style>
  <w:style w:type="character" w:styleId="ListLabel254">
    <w:name w:val="ListLabel 254"/>
    <w:qFormat/>
    <w:rPr>
      <w:rFonts w:cs="OpenSymbol"/>
    </w:rPr>
  </w:style>
  <w:style w:type="character" w:styleId="ListLabel256">
    <w:name w:val="ListLabel 256"/>
    <w:qFormat/>
    <w:rPr>
      <w:b/>
      <w:bCs w:val="false"/>
      <w:i w:val="false"/>
      <w:iCs w:val="false"/>
      <w:sz w:val="16"/>
      <w:szCs w:val="24"/>
    </w:rPr>
  </w:style>
  <w:style w:type="character" w:styleId="ListLabel257">
    <w:name w:val="ListLabel 257"/>
    <w:qFormat/>
    <w:rPr>
      <w:b/>
      <w:bCs w:val="false"/>
      <w:sz w:val="24"/>
      <w:szCs w:val="24"/>
    </w:rPr>
  </w:style>
  <w:style w:type="character" w:styleId="ListLabel258">
    <w:name w:val="ListLabel 258"/>
    <w:qFormat/>
    <w:rPr>
      <w:b/>
      <w:bCs w:val="false"/>
      <w:sz w:val="24"/>
      <w:szCs w:val="24"/>
    </w:rPr>
  </w:style>
  <w:style w:type="character" w:styleId="ListLabel259">
    <w:name w:val="ListLabel 259"/>
    <w:qFormat/>
    <w:rPr>
      <w:rFonts w:cs="Symbol"/>
    </w:rPr>
  </w:style>
  <w:style w:type="character" w:styleId="ListLabel260">
    <w:name w:val="ListLabel 260"/>
    <w:qFormat/>
    <w:rPr>
      <w:rFonts w:cs="Symbol"/>
    </w:rPr>
  </w:style>
  <w:style w:type="character" w:styleId="ListLabel261">
    <w:name w:val="ListLabel 261"/>
    <w:qFormat/>
    <w:rPr>
      <w:rFonts w:cs="Symbol"/>
    </w:rPr>
  </w:style>
  <w:style w:type="character" w:styleId="ListLabel262">
    <w:name w:val="ListLabel 262"/>
    <w:qFormat/>
    <w:rPr>
      <w:rFonts w:cs="Symbol"/>
    </w:rPr>
  </w:style>
  <w:style w:type="character" w:styleId="ListLabel263">
    <w:name w:val="ListLabel 263"/>
    <w:qFormat/>
    <w:rPr>
      <w:rFonts w:cs="Symbol"/>
    </w:rPr>
  </w:style>
  <w:style w:type="character" w:styleId="ListLabel264">
    <w:name w:val="ListLabel 264"/>
    <w:qFormat/>
    <w:rPr>
      <w:rFonts w:cs="Symbol"/>
    </w:rPr>
  </w:style>
  <w:style w:type="character" w:styleId="ListLabel265">
    <w:name w:val="ListLabel 265"/>
    <w:qFormat/>
    <w:rPr>
      <w:rFonts w:cs="Courier New"/>
    </w:rPr>
  </w:style>
  <w:style w:type="character" w:styleId="ListLabel266">
    <w:name w:val="ListLabel 266"/>
    <w:qFormat/>
    <w:rPr>
      <w:rFonts w:cs="Wingdings"/>
    </w:rPr>
  </w:style>
  <w:style w:type="character" w:styleId="ListLabel267">
    <w:name w:val="ListLabel 267"/>
    <w:qFormat/>
    <w:rPr>
      <w:rFonts w:cs="Symbol"/>
    </w:rPr>
  </w:style>
  <w:style w:type="character" w:styleId="ListLabel268">
    <w:name w:val="ListLabel 268"/>
    <w:qFormat/>
    <w:rPr>
      <w:rFonts w:cs="Courier New"/>
    </w:rPr>
  </w:style>
  <w:style w:type="character" w:styleId="ListLabel269">
    <w:name w:val="ListLabel 269"/>
    <w:qFormat/>
    <w:rPr>
      <w:rFonts w:cs="Wingdings"/>
    </w:rPr>
  </w:style>
  <w:style w:type="character" w:styleId="ListLabel270">
    <w:name w:val="ListLabel 270"/>
    <w:qFormat/>
    <w:rPr>
      <w:rFonts w:cs="Symbol"/>
    </w:rPr>
  </w:style>
  <w:style w:type="character" w:styleId="ListLabel271">
    <w:name w:val="ListLabel 271"/>
    <w:qFormat/>
    <w:rPr>
      <w:rFonts w:cs="Courier New"/>
    </w:rPr>
  </w:style>
  <w:style w:type="character" w:styleId="ListLabel272">
    <w:name w:val="ListLabel 272"/>
    <w:qFormat/>
    <w:rPr>
      <w:rFonts w:cs="Wingdings"/>
    </w:rPr>
  </w:style>
  <w:style w:type="character" w:styleId="ListLabel273">
    <w:name w:val="ListLabel 273"/>
    <w:qFormat/>
    <w:rPr>
      <w:rFonts w:cs="OpenSymbol"/>
      <w:sz w:val="20"/>
    </w:rPr>
  </w:style>
  <w:style w:type="character" w:styleId="ListLabel274">
    <w:name w:val="ListLabel 274"/>
    <w:qFormat/>
    <w:rPr>
      <w:rFonts w:cs="OpenSymbol"/>
    </w:rPr>
  </w:style>
  <w:style w:type="character" w:styleId="ListLabel275">
    <w:name w:val="ListLabel 275"/>
    <w:qFormat/>
    <w:rPr>
      <w:rFonts w:cs="OpenSymbol"/>
    </w:rPr>
  </w:style>
  <w:style w:type="character" w:styleId="ListLabel276">
    <w:name w:val="ListLabel 276"/>
    <w:qFormat/>
    <w:rPr>
      <w:rFonts w:cs="OpenSymbol"/>
    </w:rPr>
  </w:style>
  <w:style w:type="character" w:styleId="ListLabel277">
    <w:name w:val="ListLabel 277"/>
    <w:qFormat/>
    <w:rPr>
      <w:rFonts w:cs="OpenSymbol"/>
    </w:rPr>
  </w:style>
  <w:style w:type="character" w:styleId="ListLabel278">
    <w:name w:val="ListLabel 278"/>
    <w:qFormat/>
    <w:rPr>
      <w:rFonts w:cs="OpenSymbol"/>
    </w:rPr>
  </w:style>
  <w:style w:type="character" w:styleId="ListLabel279">
    <w:name w:val="ListLabel 279"/>
    <w:qFormat/>
    <w:rPr>
      <w:rFonts w:cs="OpenSymbol"/>
    </w:rPr>
  </w:style>
  <w:style w:type="character" w:styleId="ListLabel280">
    <w:name w:val="ListLabel 280"/>
    <w:qFormat/>
    <w:rPr>
      <w:rFonts w:cs="OpenSymbol"/>
    </w:rPr>
  </w:style>
  <w:style w:type="character" w:styleId="ListLabel281">
    <w:name w:val="ListLabel 281"/>
    <w:qFormat/>
    <w:rPr>
      <w:rFonts w:cs="OpenSymbol"/>
    </w:rPr>
  </w:style>
  <w:style w:type="character" w:styleId="ListLabel282">
    <w:name w:val="ListLabel 282"/>
    <w:qFormat/>
    <w:rPr>
      <w:b/>
      <w:bCs w:val="false"/>
      <w:i w:val="false"/>
      <w:iCs w:val="false"/>
      <w:sz w:val="16"/>
      <w:szCs w:val="24"/>
    </w:rPr>
  </w:style>
  <w:style w:type="character" w:styleId="ListLabel283">
    <w:name w:val="ListLabel 283"/>
    <w:qFormat/>
    <w:rPr>
      <w:b/>
      <w:bCs w:val="false"/>
      <w:sz w:val="24"/>
      <w:szCs w:val="24"/>
    </w:rPr>
  </w:style>
  <w:style w:type="character" w:styleId="ListLabel284">
    <w:name w:val="ListLabel 284"/>
    <w:qFormat/>
    <w:rPr>
      <w:b/>
      <w:bCs w:val="false"/>
      <w:sz w:val="24"/>
      <w:szCs w:val="24"/>
    </w:rPr>
  </w:style>
  <w:style w:type="character" w:styleId="ListLabel285">
    <w:name w:val="ListLabel 285"/>
    <w:qFormat/>
    <w:rPr>
      <w:rFonts w:cs="Symbol"/>
    </w:rPr>
  </w:style>
  <w:style w:type="character" w:styleId="ListLabel286">
    <w:name w:val="ListLabel 286"/>
    <w:qFormat/>
    <w:rPr>
      <w:rFonts w:cs="Symbol"/>
    </w:rPr>
  </w:style>
  <w:style w:type="character" w:styleId="ListLabel287">
    <w:name w:val="ListLabel 287"/>
    <w:qFormat/>
    <w:rPr>
      <w:rFonts w:cs="Symbol"/>
    </w:rPr>
  </w:style>
  <w:style w:type="character" w:styleId="ListLabel288">
    <w:name w:val="ListLabel 288"/>
    <w:qFormat/>
    <w:rPr>
      <w:rFonts w:cs="Symbol"/>
    </w:rPr>
  </w:style>
  <w:style w:type="character" w:styleId="ListLabel289">
    <w:name w:val="ListLabel 289"/>
    <w:qFormat/>
    <w:rPr>
      <w:rFonts w:cs="Symbol"/>
    </w:rPr>
  </w:style>
  <w:style w:type="character" w:styleId="ListLabel290">
    <w:name w:val="ListLabel 290"/>
    <w:qFormat/>
    <w:rPr>
      <w:rFonts w:cs="Symbol"/>
    </w:rPr>
  </w:style>
  <w:style w:type="character" w:styleId="ListLabel291">
    <w:name w:val="ListLabel 291"/>
    <w:qFormat/>
    <w:rPr>
      <w:rFonts w:cs="Courier New"/>
    </w:rPr>
  </w:style>
  <w:style w:type="character" w:styleId="ListLabel292">
    <w:name w:val="ListLabel 292"/>
    <w:qFormat/>
    <w:rPr>
      <w:rFonts w:cs="Wingdings"/>
    </w:rPr>
  </w:style>
  <w:style w:type="character" w:styleId="ListLabel293">
    <w:name w:val="ListLabel 293"/>
    <w:qFormat/>
    <w:rPr>
      <w:rFonts w:cs="Symbol"/>
    </w:rPr>
  </w:style>
  <w:style w:type="character" w:styleId="ListLabel294">
    <w:name w:val="ListLabel 294"/>
    <w:qFormat/>
    <w:rPr>
      <w:rFonts w:cs="Courier New"/>
    </w:rPr>
  </w:style>
  <w:style w:type="character" w:styleId="ListLabel295">
    <w:name w:val="ListLabel 295"/>
    <w:qFormat/>
    <w:rPr>
      <w:rFonts w:cs="Wingdings"/>
    </w:rPr>
  </w:style>
  <w:style w:type="character" w:styleId="ListLabel296">
    <w:name w:val="ListLabel 296"/>
    <w:qFormat/>
    <w:rPr>
      <w:rFonts w:cs="Symbol"/>
    </w:rPr>
  </w:style>
  <w:style w:type="character" w:styleId="ListLabel297">
    <w:name w:val="ListLabel 297"/>
    <w:qFormat/>
    <w:rPr>
      <w:rFonts w:cs="Courier New"/>
    </w:rPr>
  </w:style>
  <w:style w:type="character" w:styleId="ListLabel298">
    <w:name w:val="ListLabel 298"/>
    <w:qFormat/>
    <w:rPr>
      <w:rFonts w:cs="Wingdings"/>
    </w:rPr>
  </w:style>
  <w:style w:type="character" w:styleId="ListLabel299">
    <w:name w:val="ListLabel 299"/>
    <w:qFormat/>
    <w:rPr>
      <w:rFonts w:cs="OpenSymbol"/>
      <w:sz w:val="20"/>
    </w:rPr>
  </w:style>
  <w:style w:type="character" w:styleId="ListLabel300">
    <w:name w:val="ListLabel 300"/>
    <w:qFormat/>
    <w:rPr>
      <w:rFonts w:cs="OpenSymbol"/>
    </w:rPr>
  </w:style>
  <w:style w:type="character" w:styleId="ListLabel301">
    <w:name w:val="ListLabel 301"/>
    <w:qFormat/>
    <w:rPr>
      <w:rFonts w:cs="OpenSymbol"/>
    </w:rPr>
  </w:style>
  <w:style w:type="character" w:styleId="ListLabel302">
    <w:name w:val="ListLabel 302"/>
    <w:qFormat/>
    <w:rPr>
      <w:rFonts w:cs="OpenSymbol"/>
    </w:rPr>
  </w:style>
  <w:style w:type="character" w:styleId="ListLabel303">
    <w:name w:val="ListLabel 303"/>
    <w:qFormat/>
    <w:rPr>
      <w:rFonts w:cs="OpenSymbol"/>
    </w:rPr>
  </w:style>
  <w:style w:type="character" w:styleId="ListLabel304">
    <w:name w:val="ListLabel 304"/>
    <w:qFormat/>
    <w:rPr>
      <w:rFonts w:cs="OpenSymbol"/>
    </w:rPr>
  </w:style>
  <w:style w:type="character" w:styleId="ListLabel305">
    <w:name w:val="ListLabel 305"/>
    <w:qFormat/>
    <w:rPr>
      <w:rFonts w:cs="OpenSymbol"/>
    </w:rPr>
  </w:style>
  <w:style w:type="character" w:styleId="ListLabel306">
    <w:name w:val="ListLabel 306"/>
    <w:qFormat/>
    <w:rPr>
      <w:rFonts w:cs="OpenSymbol"/>
    </w:rPr>
  </w:style>
  <w:style w:type="character" w:styleId="ListLabel307">
    <w:name w:val="ListLabel 307"/>
    <w:qFormat/>
    <w:rPr>
      <w:rFonts w:cs="OpenSymbol"/>
    </w:rPr>
  </w:style>
  <w:style w:type="character" w:styleId="ListLabel308">
    <w:name w:val="ListLabel 308"/>
    <w:qFormat/>
    <w:rPr>
      <w:b/>
      <w:bCs w:val="false"/>
      <w:i w:val="false"/>
      <w:iCs w:val="false"/>
      <w:sz w:val="16"/>
      <w:szCs w:val="24"/>
    </w:rPr>
  </w:style>
  <w:style w:type="character" w:styleId="ListLabel309">
    <w:name w:val="ListLabel 309"/>
    <w:qFormat/>
    <w:rPr>
      <w:b/>
      <w:bCs w:val="false"/>
      <w:sz w:val="24"/>
      <w:szCs w:val="24"/>
    </w:rPr>
  </w:style>
  <w:style w:type="character" w:styleId="ListLabel310">
    <w:name w:val="ListLabel 310"/>
    <w:qFormat/>
    <w:rPr>
      <w:b/>
      <w:bCs w:val="false"/>
      <w:sz w:val="24"/>
      <w:szCs w:val="24"/>
    </w:rPr>
  </w:style>
  <w:style w:type="character" w:styleId="ListLabel311">
    <w:name w:val="ListLabel 311"/>
    <w:qFormat/>
    <w:rPr>
      <w:rFonts w:cs="Symbol"/>
    </w:rPr>
  </w:style>
  <w:style w:type="character" w:styleId="ListLabel312">
    <w:name w:val="ListLabel 312"/>
    <w:qFormat/>
    <w:rPr>
      <w:rFonts w:cs="Symbol"/>
    </w:rPr>
  </w:style>
  <w:style w:type="character" w:styleId="ListLabel313">
    <w:name w:val="ListLabel 313"/>
    <w:qFormat/>
    <w:rPr>
      <w:rFonts w:cs="Symbol"/>
    </w:rPr>
  </w:style>
  <w:style w:type="character" w:styleId="ListLabel314">
    <w:name w:val="ListLabel 314"/>
    <w:qFormat/>
    <w:rPr>
      <w:rFonts w:cs="Symbol"/>
    </w:rPr>
  </w:style>
  <w:style w:type="character" w:styleId="ListLabel315">
    <w:name w:val="ListLabel 315"/>
    <w:qFormat/>
    <w:rPr>
      <w:rFonts w:cs="Symbol"/>
    </w:rPr>
  </w:style>
  <w:style w:type="character" w:styleId="ListLabel316">
    <w:name w:val="ListLabel 316"/>
    <w:qFormat/>
    <w:rPr>
      <w:rFonts w:cs="Symbol"/>
    </w:rPr>
  </w:style>
  <w:style w:type="character" w:styleId="ListLabel317">
    <w:name w:val="ListLabel 317"/>
    <w:qFormat/>
    <w:rPr>
      <w:rFonts w:cs="Courier New"/>
    </w:rPr>
  </w:style>
  <w:style w:type="character" w:styleId="ListLabel318">
    <w:name w:val="ListLabel 318"/>
    <w:qFormat/>
    <w:rPr>
      <w:rFonts w:cs="Wingdings"/>
    </w:rPr>
  </w:style>
  <w:style w:type="character" w:styleId="ListLabel319">
    <w:name w:val="ListLabel 319"/>
    <w:qFormat/>
    <w:rPr>
      <w:rFonts w:cs="Symbol"/>
    </w:rPr>
  </w:style>
  <w:style w:type="character" w:styleId="ListLabel320">
    <w:name w:val="ListLabel 320"/>
    <w:qFormat/>
    <w:rPr>
      <w:rFonts w:cs="Courier New"/>
    </w:rPr>
  </w:style>
  <w:style w:type="character" w:styleId="ListLabel321">
    <w:name w:val="ListLabel 321"/>
    <w:qFormat/>
    <w:rPr>
      <w:rFonts w:cs="Wingdings"/>
    </w:rPr>
  </w:style>
  <w:style w:type="character" w:styleId="ListLabel322">
    <w:name w:val="ListLabel 322"/>
    <w:qFormat/>
    <w:rPr>
      <w:rFonts w:cs="Symbol"/>
    </w:rPr>
  </w:style>
  <w:style w:type="character" w:styleId="ListLabel323">
    <w:name w:val="ListLabel 323"/>
    <w:qFormat/>
    <w:rPr>
      <w:rFonts w:cs="Courier New"/>
    </w:rPr>
  </w:style>
  <w:style w:type="character" w:styleId="ListLabel324">
    <w:name w:val="ListLabel 324"/>
    <w:qFormat/>
    <w:rPr>
      <w:rFonts w:cs="Wingdings"/>
    </w:rPr>
  </w:style>
  <w:style w:type="character" w:styleId="ListLabel325">
    <w:name w:val="ListLabel 325"/>
    <w:qFormat/>
    <w:rPr>
      <w:rFonts w:cs="OpenSymbol"/>
      <w:sz w:val="20"/>
    </w:rPr>
  </w:style>
  <w:style w:type="character" w:styleId="ListLabel326">
    <w:name w:val="ListLabel 326"/>
    <w:qFormat/>
    <w:rPr>
      <w:rFonts w:cs="OpenSymbol"/>
    </w:rPr>
  </w:style>
  <w:style w:type="character" w:styleId="ListLabel327">
    <w:name w:val="ListLabel 327"/>
    <w:qFormat/>
    <w:rPr>
      <w:rFonts w:cs="OpenSymbol"/>
    </w:rPr>
  </w:style>
  <w:style w:type="character" w:styleId="ListLabel328">
    <w:name w:val="ListLabel 328"/>
    <w:qFormat/>
    <w:rPr>
      <w:rFonts w:cs="OpenSymbol"/>
    </w:rPr>
  </w:style>
  <w:style w:type="character" w:styleId="ListLabel329">
    <w:name w:val="ListLabel 329"/>
    <w:qFormat/>
    <w:rPr>
      <w:rFonts w:cs="OpenSymbol"/>
    </w:rPr>
  </w:style>
  <w:style w:type="character" w:styleId="ListLabel330">
    <w:name w:val="ListLabel 330"/>
    <w:qFormat/>
    <w:rPr>
      <w:rFonts w:cs="OpenSymbol"/>
    </w:rPr>
  </w:style>
  <w:style w:type="character" w:styleId="ListLabel331">
    <w:name w:val="ListLabel 331"/>
    <w:qFormat/>
    <w:rPr>
      <w:rFonts w:cs="OpenSymbol"/>
    </w:rPr>
  </w:style>
  <w:style w:type="character" w:styleId="ListLabel332">
    <w:name w:val="ListLabel 332"/>
    <w:qFormat/>
    <w:rPr>
      <w:rFonts w:cs="OpenSymbol"/>
    </w:rPr>
  </w:style>
  <w:style w:type="character" w:styleId="ListLabel333">
    <w:name w:val="ListLabel 333"/>
    <w:qFormat/>
    <w:rPr>
      <w:rFonts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c24d59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c24d59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24d59"/>
    <w:pPr>
      <w:spacing w:lineRule="auto" w:line="240" w:before="0" w:after="0"/>
    </w:pPr>
    <w:rPr>
      <w:rFonts w:ascii="Segoe UI" w:hAnsi="Segoe UI" w:cs="Segoe UI"/>
      <w:szCs w:val="18"/>
    </w:rPr>
  </w:style>
  <w:style w:type="paragraph" w:styleId="Gwka">
    <w:name w:val="Header"/>
    <w:basedOn w:val="Normal"/>
    <w:link w:val="NagwekZnak"/>
    <w:uiPriority w:val="99"/>
    <w:unhideWhenUsed/>
    <w:rsid w:val="009e635f"/>
    <w:pPr>
      <w:tabs>
        <w:tab w:val="clear" w:pos="253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c92ece"/>
    <w:pPr>
      <w:spacing w:before="0" w:after="3"/>
      <w:ind w:left="720" w:hanging="10"/>
      <w:contextualSpacing/>
    </w:pPr>
    <w:rPr/>
  </w:style>
  <w:style w:type="paragraph" w:styleId="Default" w:customStyle="1">
    <w:name w:val="Default"/>
    <w:qFormat/>
    <w:rsid w:val="001c78b8"/>
    <w:pPr>
      <w:widowControl/>
      <w:bidi w:val="0"/>
      <w:spacing w:lineRule="auto" w:line="240" w:before="0" w:after="0"/>
      <w:jc w:val="left"/>
    </w:pPr>
    <w:rPr>
      <w:rFonts w:ascii="Arial" w:hAnsi="Arial" w:eastAsia="" w:cs="Arial"/>
      <w:color w:val="000000"/>
      <w:kern w:val="0"/>
      <w:sz w:val="24"/>
      <w:szCs w:val="24"/>
      <w:lang w:val="pl-PL" w:eastAsia="pl-PL" w:bidi="ar-SA"/>
    </w:rPr>
  </w:style>
  <w:style w:type="paragraph" w:styleId="Zawartoramki">
    <w:name w:val="Zawartość ramki"/>
    <w:basedOn w:val="Normal"/>
    <w:qFormat/>
    <w:pPr/>
    <w:rPr/>
  </w:style>
  <w:style w:type="paragraph" w:styleId="Stopka">
    <w:name w:val="Footer"/>
    <w:basedOn w:val="Normal"/>
    <w:pPr/>
    <w:rPr/>
  </w:style>
  <w:style w:type="paragraph" w:styleId="Domynie">
    <w:name w:val="Domy徑nie"/>
    <w:qFormat/>
    <w:pPr>
      <w:widowControl w:val="false"/>
      <w:bidi w:val="0"/>
      <w:spacing w:lineRule="auto" w:line="259" w:before="0" w:after="159"/>
      <w:contextualSpacing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pl-PL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ArrayOfDocumentLink xmlns:xsd="http://www.w3.org/2001/XMLSchema" xmlns:xsi="http://www.w3.org/2001/XMLSchema-instanc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AAA6F-2AD2-46F3-8B85-61FC219B021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3505569-84C7-4A25-9B2F-9DAE02A54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LibreOffice/6.2.4.2$Windows_x86 LibreOffice_project/2412653d852ce75f65fbfa83fb7e7b669a126d64</Application>
  <Pages>6</Pages>
  <Words>1577</Words>
  <Characters>10656</Characters>
  <CharactersWithSpaces>12141</CharactersWithSpaces>
  <Paragraphs>222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2024-03-11T11:47:00Z</dcterms:created>
  <dc:creator>Maksymilian Radzimirski</dc:creator>
  <dc:description/>
  <dc:language>pl-PL</dc:language>
  <cp:lastModifiedBy/>
  <dcterms:modified xsi:type="dcterms:W3CDTF">2026-05-15T09:42:16Z</dcterms:modified>
  <cp:revision>14</cp:revision>
  <dc:subject/>
  <dc:title>Załącznik nr 4A do załącznika do zarządzenia nr 68/2024 Rektora WUM z dnia 18.04.2024r.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